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0353CD" w14:textId="14598AA8" w:rsidR="006A1015" w:rsidRPr="00B3364F" w:rsidRDefault="00E43E81" w:rsidP="00EB78F7">
      <w:pPr>
        <w:rPr>
          <w:rFonts w:ascii="Arial" w:hAnsi="Arial" w:cs="Arial"/>
          <w:b/>
          <w:color w:val="000000" w:themeColor="text1"/>
          <w:sz w:val="32"/>
          <w:szCs w:val="32"/>
        </w:rPr>
      </w:pPr>
      <w:r>
        <w:rPr>
          <w:rFonts w:ascii="Arial" w:hAnsi="Arial" w:cs="Arial"/>
          <w:b/>
          <w:color w:val="000000" w:themeColor="text1"/>
          <w:sz w:val="32"/>
          <w:szCs w:val="32"/>
        </w:rPr>
        <w:t>Ahora tam</w:t>
      </w:r>
      <w:r w:rsidRPr="00B3364F">
        <w:rPr>
          <w:rFonts w:ascii="Arial" w:hAnsi="Arial" w:cs="Arial"/>
          <w:b/>
          <w:color w:val="000000" w:themeColor="text1"/>
          <w:sz w:val="32"/>
          <w:szCs w:val="32"/>
        </w:rPr>
        <w:t>bién perfecto para KNX: los detectores de movimiento/ presencia de Theben theMura para el montaje en la pared</w:t>
      </w:r>
    </w:p>
    <w:p w14:paraId="7380992F" w14:textId="77777777" w:rsidR="00EB78F7" w:rsidRPr="00B3364F" w:rsidRDefault="00EB78F7" w:rsidP="00EB78F7">
      <w:pPr>
        <w:rPr>
          <w:rFonts w:ascii="Arial" w:hAnsi="Arial" w:cs="Arial"/>
          <w:sz w:val="18"/>
          <w:szCs w:val="18"/>
        </w:rPr>
      </w:pPr>
    </w:p>
    <w:p w14:paraId="7D2DE4C5" w14:textId="7133C371" w:rsidR="006A1015" w:rsidRPr="00B3364F" w:rsidRDefault="00312283" w:rsidP="00260C27">
      <w:pPr>
        <w:autoSpaceDE w:val="0"/>
        <w:autoSpaceDN w:val="0"/>
        <w:adjustRightInd w:val="0"/>
        <w:spacing w:line="360" w:lineRule="auto"/>
        <w:jc w:val="both"/>
        <w:rPr>
          <w:rFonts w:ascii="Arial" w:hAnsi="Arial" w:cs="Arial"/>
          <w:b/>
          <w:color w:val="000000" w:themeColor="text1"/>
          <w:sz w:val="18"/>
          <w:szCs w:val="18"/>
        </w:rPr>
      </w:pPr>
      <w:r w:rsidRPr="00B3364F">
        <w:rPr>
          <w:rFonts w:ascii="Arial" w:hAnsi="Arial" w:cs="Arial"/>
          <w:b/>
          <w:color w:val="000000" w:themeColor="text1"/>
          <w:sz w:val="18"/>
          <w:szCs w:val="18"/>
        </w:rPr>
        <w:t>(</w:t>
      </w:r>
      <w:proofErr w:type="spellStart"/>
      <w:r w:rsidR="00B3364F">
        <w:rPr>
          <w:rFonts w:ascii="Arial" w:hAnsi="Arial" w:cs="Arial"/>
          <w:b/>
          <w:color w:val="000000" w:themeColor="text1"/>
          <w:sz w:val="18"/>
          <w:szCs w:val="18"/>
        </w:rPr>
        <w:t>H</w:t>
      </w:r>
      <w:r w:rsidRPr="00B3364F">
        <w:rPr>
          <w:rFonts w:ascii="Arial" w:hAnsi="Arial" w:cs="Arial"/>
          <w:b/>
          <w:color w:val="000000" w:themeColor="text1"/>
          <w:sz w:val="18"/>
          <w:szCs w:val="18"/>
        </w:rPr>
        <w:t>aigeroch</w:t>
      </w:r>
      <w:proofErr w:type="spellEnd"/>
      <w:r w:rsidRPr="00B3364F">
        <w:rPr>
          <w:rFonts w:ascii="Arial" w:hAnsi="Arial" w:cs="Arial"/>
          <w:b/>
          <w:color w:val="000000" w:themeColor="text1"/>
          <w:sz w:val="18"/>
          <w:szCs w:val="18"/>
        </w:rPr>
        <w:t xml:space="preserve">, </w:t>
      </w:r>
      <w:r w:rsidR="00B3364F">
        <w:rPr>
          <w:rFonts w:ascii="Arial" w:hAnsi="Arial" w:cs="Arial"/>
          <w:b/>
          <w:color w:val="000000" w:themeColor="text1"/>
          <w:sz w:val="18"/>
          <w:szCs w:val="18"/>
        </w:rPr>
        <w:t>1</w:t>
      </w:r>
      <w:r w:rsidRPr="00B3364F">
        <w:rPr>
          <w:rFonts w:ascii="Arial" w:hAnsi="Arial" w:cs="Arial"/>
          <w:b/>
          <w:color w:val="000000" w:themeColor="text1"/>
          <w:sz w:val="18"/>
          <w:szCs w:val="18"/>
        </w:rPr>
        <w:t xml:space="preserve"> de marzo de 2022) Theben AG amplía la gama de productos de los detectores de movimiento y de presencia theMura para el montaje en la pared. Además de las versiones de 230 V ahora también se </w:t>
      </w:r>
      <w:r w:rsidR="002F4704" w:rsidRPr="00B3364F">
        <w:rPr>
          <w:rFonts w:ascii="Arial" w:hAnsi="Arial" w:cs="Arial"/>
          <w:b/>
          <w:color w:val="000000" w:themeColor="text1"/>
          <w:sz w:val="18"/>
          <w:szCs w:val="18"/>
        </w:rPr>
        <w:t xml:space="preserve">ofrecen </w:t>
      </w:r>
      <w:r w:rsidRPr="00B3364F">
        <w:rPr>
          <w:rFonts w:ascii="Arial" w:hAnsi="Arial" w:cs="Arial"/>
          <w:b/>
          <w:color w:val="000000" w:themeColor="text1"/>
          <w:sz w:val="18"/>
          <w:szCs w:val="18"/>
        </w:rPr>
        <w:t xml:space="preserve">aparatos con pulsador integrado para su uso en la automatización de edificios KNX y en el sistema domótico LUXORliving basado en KNX. </w:t>
      </w:r>
    </w:p>
    <w:p w14:paraId="64AE4250" w14:textId="77777777" w:rsidR="006A1015" w:rsidRPr="00B3364F" w:rsidRDefault="006A1015" w:rsidP="00260C27">
      <w:pPr>
        <w:autoSpaceDE w:val="0"/>
        <w:autoSpaceDN w:val="0"/>
        <w:adjustRightInd w:val="0"/>
        <w:spacing w:line="360" w:lineRule="auto"/>
        <w:jc w:val="both"/>
        <w:rPr>
          <w:rFonts w:ascii="Arial" w:hAnsi="Arial" w:cs="Arial"/>
          <w:color w:val="000000" w:themeColor="text1"/>
          <w:sz w:val="18"/>
          <w:szCs w:val="18"/>
        </w:rPr>
      </w:pPr>
    </w:p>
    <w:p w14:paraId="5E19358B" w14:textId="74574F6B" w:rsidR="004D6293" w:rsidRPr="00B3364F" w:rsidRDefault="003C1657" w:rsidP="00260C27">
      <w:pPr>
        <w:spacing w:line="360" w:lineRule="auto"/>
        <w:jc w:val="both"/>
        <w:rPr>
          <w:rFonts w:ascii="Arial" w:hAnsi="Arial" w:cs="Arial"/>
          <w:color w:val="000000" w:themeColor="text1"/>
          <w:spacing w:val="4"/>
          <w:sz w:val="18"/>
          <w:szCs w:val="18"/>
        </w:rPr>
      </w:pPr>
      <w:r w:rsidRPr="00B3364F">
        <w:rPr>
          <w:rFonts w:ascii="Arial" w:hAnsi="Arial" w:cs="Arial"/>
          <w:color w:val="000000" w:themeColor="text1"/>
          <w:spacing w:val="4"/>
          <w:sz w:val="18"/>
          <w:szCs w:val="18"/>
        </w:rPr>
        <w:t>Los nuevos detectores de presencia y de movimiento KNX son perfectos para el control de iluminación con eficiencia energética, por ejemplo, en pasillo</w:t>
      </w:r>
      <w:r w:rsidR="002F4704" w:rsidRPr="00B3364F">
        <w:rPr>
          <w:rFonts w:ascii="Arial" w:hAnsi="Arial" w:cs="Arial"/>
          <w:color w:val="000000" w:themeColor="text1"/>
          <w:spacing w:val="4"/>
          <w:sz w:val="18"/>
          <w:szCs w:val="18"/>
        </w:rPr>
        <w:t>s</w:t>
      </w:r>
      <w:r w:rsidRPr="00B3364F">
        <w:rPr>
          <w:rFonts w:ascii="Arial" w:hAnsi="Arial" w:cs="Arial"/>
          <w:color w:val="000000" w:themeColor="text1"/>
          <w:spacing w:val="4"/>
          <w:sz w:val="18"/>
          <w:szCs w:val="18"/>
        </w:rPr>
        <w:t>, escaleras, despachos individuales, sótanos y WC. El detector de presencia theMura P 180 KNX ofrece un pulsador libremente parametrizable, seis canales lógicos, dos canales de presencia y de luz respectivamente, un sensor acústico y de temperatura integrado y una interfaz de pulsadores. De esta manera se reducen considerablemente los costes de la instalación eléctrica. Otras funciones confort son la luz de orientación para más seguridad en la oscuridad</w:t>
      </w:r>
      <w:r w:rsidR="002F4704" w:rsidRPr="00B3364F">
        <w:rPr>
          <w:rFonts w:ascii="Arial" w:hAnsi="Arial" w:cs="Arial"/>
          <w:color w:val="000000" w:themeColor="text1"/>
          <w:spacing w:val="4"/>
          <w:sz w:val="18"/>
          <w:szCs w:val="18"/>
        </w:rPr>
        <w:t>,</w:t>
      </w:r>
      <w:r w:rsidRPr="00B3364F">
        <w:rPr>
          <w:rFonts w:ascii="Arial" w:hAnsi="Arial" w:cs="Arial"/>
          <w:color w:val="000000" w:themeColor="text1"/>
          <w:spacing w:val="4"/>
          <w:sz w:val="18"/>
          <w:szCs w:val="18"/>
        </w:rPr>
        <w:t xml:space="preserve"> y la conmutación día/noche para una mayor flexibilidad. El hermano pequeño más económico, el detector de movimiento theMura S 180 KNX, convence por un pulsador integrado, tres canales lógico</w:t>
      </w:r>
      <w:r w:rsidR="002F4704" w:rsidRPr="00B3364F">
        <w:rPr>
          <w:rFonts w:ascii="Arial" w:hAnsi="Arial" w:cs="Arial"/>
          <w:color w:val="000000" w:themeColor="text1"/>
          <w:spacing w:val="4"/>
          <w:sz w:val="18"/>
          <w:szCs w:val="18"/>
        </w:rPr>
        <w:t>s</w:t>
      </w:r>
      <w:r w:rsidRPr="00B3364F">
        <w:rPr>
          <w:rFonts w:ascii="Arial" w:hAnsi="Arial" w:cs="Arial"/>
          <w:color w:val="000000" w:themeColor="text1"/>
          <w:spacing w:val="4"/>
          <w:sz w:val="18"/>
          <w:szCs w:val="18"/>
        </w:rPr>
        <w:t xml:space="preserve"> y un canal de luz y uno de presencia respectivamente. </w:t>
      </w:r>
    </w:p>
    <w:p w14:paraId="032EB8B7" w14:textId="77777777" w:rsidR="004D6293" w:rsidRPr="00B3364F" w:rsidRDefault="004D6293" w:rsidP="00260C27">
      <w:pPr>
        <w:spacing w:line="360" w:lineRule="auto"/>
        <w:jc w:val="both"/>
        <w:rPr>
          <w:rFonts w:ascii="Arial" w:hAnsi="Arial" w:cs="Arial"/>
          <w:color w:val="000000" w:themeColor="text1"/>
          <w:spacing w:val="4"/>
          <w:sz w:val="18"/>
          <w:szCs w:val="18"/>
        </w:rPr>
      </w:pPr>
    </w:p>
    <w:p w14:paraId="442FE5F2" w14:textId="7CB08B09" w:rsidR="007C7D3D" w:rsidRPr="00B3364F" w:rsidRDefault="00071ECC" w:rsidP="00260C27">
      <w:pPr>
        <w:spacing w:line="360" w:lineRule="auto"/>
        <w:jc w:val="both"/>
        <w:rPr>
          <w:rFonts w:ascii="Arial" w:hAnsi="Arial" w:cs="Arial"/>
          <w:color w:val="000000" w:themeColor="text1"/>
          <w:spacing w:val="4"/>
          <w:sz w:val="18"/>
          <w:szCs w:val="18"/>
        </w:rPr>
      </w:pPr>
      <w:r w:rsidRPr="00B3364F">
        <w:rPr>
          <w:rFonts w:ascii="Arial" w:hAnsi="Arial" w:cs="Arial"/>
          <w:color w:val="000000" w:themeColor="text1"/>
          <w:spacing w:val="4"/>
          <w:sz w:val="18"/>
          <w:szCs w:val="18"/>
        </w:rPr>
        <w:t xml:space="preserve">Como parte de este nuevo desarrollo se amplía LUXORliving con el detector de movimiento empotrado LUXORliving Bl180. En el sistema domótico LUXORliving basado en KNX el aparato permite la activación de funciones de conmutación o regulación y escenas definidas por el usuario. Gracias al sensor de temperatura integrado, el detector de movimiento también puede integrarse en una regulación de temperatura ambiente. </w:t>
      </w:r>
    </w:p>
    <w:p w14:paraId="4BACA53F" w14:textId="77777777" w:rsidR="007C7D3D" w:rsidRPr="00B3364F" w:rsidRDefault="007C7D3D" w:rsidP="00260C27">
      <w:pPr>
        <w:spacing w:line="360" w:lineRule="auto"/>
        <w:jc w:val="both"/>
        <w:rPr>
          <w:rFonts w:ascii="Arial" w:hAnsi="Arial" w:cs="Arial"/>
          <w:color w:val="000000" w:themeColor="text1"/>
          <w:spacing w:val="4"/>
          <w:sz w:val="18"/>
          <w:szCs w:val="18"/>
        </w:rPr>
      </w:pPr>
    </w:p>
    <w:p w14:paraId="419C579F" w14:textId="7C41BC99" w:rsidR="00650840" w:rsidRPr="00B3364F" w:rsidRDefault="006B44BA" w:rsidP="00260C27">
      <w:pPr>
        <w:spacing w:line="360" w:lineRule="auto"/>
        <w:jc w:val="both"/>
        <w:rPr>
          <w:rFonts w:ascii="Arial" w:hAnsi="Arial" w:cs="Arial"/>
          <w:color w:val="000000" w:themeColor="text1"/>
          <w:spacing w:val="4"/>
          <w:sz w:val="18"/>
          <w:szCs w:val="18"/>
        </w:rPr>
      </w:pPr>
      <w:r w:rsidRPr="00B3364F">
        <w:rPr>
          <w:rFonts w:ascii="Arial" w:hAnsi="Arial" w:cs="Arial"/>
          <w:color w:val="000000" w:themeColor="text1"/>
          <w:spacing w:val="4"/>
          <w:sz w:val="18"/>
          <w:szCs w:val="18"/>
        </w:rPr>
        <w:t xml:space="preserve">Gracias a la herramienta de actualización integrada se pueden instalar las actualizaciones de firmware en cualquier momento. De esta forma el detector de movimiento KNX está siempre al día con los cambios. Todos los aparatos theMura para la automatización de edificios KNX son compatibles con KNX Data Secure y están protegidos de forma óptima contra robo de datos y manipulaciones. </w:t>
      </w:r>
    </w:p>
    <w:p w14:paraId="66DE5D94" w14:textId="7BB8E55B" w:rsidR="00005846" w:rsidRPr="00B3364F" w:rsidRDefault="00005846" w:rsidP="00260C27">
      <w:pPr>
        <w:spacing w:line="360" w:lineRule="auto"/>
        <w:jc w:val="both"/>
        <w:rPr>
          <w:rFonts w:ascii="Arial" w:hAnsi="Arial" w:cs="Arial"/>
          <w:color w:val="000000" w:themeColor="text1"/>
          <w:spacing w:val="4"/>
          <w:sz w:val="18"/>
          <w:szCs w:val="18"/>
        </w:rPr>
      </w:pPr>
    </w:p>
    <w:p w14:paraId="7F43D827" w14:textId="0343595F" w:rsidR="00005846" w:rsidRPr="00260C27" w:rsidRDefault="00005846" w:rsidP="00260C27">
      <w:pPr>
        <w:spacing w:line="360" w:lineRule="auto"/>
        <w:jc w:val="both"/>
        <w:rPr>
          <w:rFonts w:ascii="Arial" w:hAnsi="Arial" w:cs="Arial"/>
          <w:color w:val="000000" w:themeColor="text1"/>
          <w:spacing w:val="4"/>
          <w:sz w:val="18"/>
          <w:szCs w:val="18"/>
        </w:rPr>
      </w:pPr>
      <w:r w:rsidRPr="00B3364F">
        <w:rPr>
          <w:rFonts w:ascii="Arial" w:hAnsi="Arial" w:cs="Arial"/>
          <w:color w:val="000000" w:themeColor="text1"/>
          <w:spacing w:val="4"/>
          <w:sz w:val="18"/>
          <w:szCs w:val="18"/>
        </w:rPr>
        <w:t>Como todos los aparatos de la familia de productos theMura, los detectores para pared KNX también ofrecen una amplia zona de detección de 14 x 17 m y un diseño especialmente plano y atractivo. Además</w:t>
      </w:r>
      <w:r w:rsidR="002F4704" w:rsidRPr="00B3364F">
        <w:rPr>
          <w:rFonts w:ascii="Arial" w:hAnsi="Arial" w:cs="Arial"/>
          <w:color w:val="000000" w:themeColor="text1"/>
          <w:spacing w:val="4"/>
          <w:sz w:val="18"/>
          <w:szCs w:val="18"/>
        </w:rPr>
        <w:t xml:space="preserve">, </w:t>
      </w:r>
      <w:r w:rsidRPr="00B3364F">
        <w:rPr>
          <w:rFonts w:ascii="Arial" w:hAnsi="Arial" w:cs="Arial"/>
          <w:color w:val="000000" w:themeColor="text1"/>
          <w:spacing w:val="4"/>
          <w:sz w:val="18"/>
          <w:szCs w:val="18"/>
        </w:rPr>
        <w:t xml:space="preserve">se pueden utilizar mediante un marco </w:t>
      </w:r>
      <w:r w:rsidR="002F4704" w:rsidRPr="00B3364F">
        <w:rPr>
          <w:rFonts w:ascii="Arial" w:hAnsi="Arial" w:cs="Arial"/>
          <w:color w:val="000000" w:themeColor="text1"/>
          <w:spacing w:val="4"/>
          <w:sz w:val="18"/>
          <w:szCs w:val="18"/>
        </w:rPr>
        <w:t>adaptador</w:t>
      </w:r>
      <w:r w:rsidRPr="00B3364F">
        <w:rPr>
          <w:rFonts w:ascii="Arial" w:hAnsi="Arial" w:cs="Arial"/>
          <w:color w:val="000000" w:themeColor="text1"/>
          <w:spacing w:val="4"/>
          <w:sz w:val="18"/>
          <w:szCs w:val="18"/>
        </w:rPr>
        <w:t xml:space="preserve"> con toda la gama de interruptores de uso común de los fabricantes líderes. La programación se realiza de forma cómoda por mando a distancia theSenda B y aplicación theSenda Plug, o de forma convencional mediante potenciómetros.</w:t>
      </w:r>
    </w:p>
    <w:p w14:paraId="43F4988A" w14:textId="77777777" w:rsidR="00650840" w:rsidRPr="00260C27" w:rsidRDefault="00650840" w:rsidP="00260C27">
      <w:pPr>
        <w:spacing w:line="360" w:lineRule="auto"/>
        <w:jc w:val="both"/>
        <w:rPr>
          <w:rFonts w:ascii="Arial" w:hAnsi="Arial" w:cs="Arial"/>
          <w:color w:val="000000" w:themeColor="text1"/>
          <w:spacing w:val="4"/>
          <w:sz w:val="18"/>
          <w:szCs w:val="18"/>
        </w:rPr>
      </w:pPr>
    </w:p>
    <w:p w14:paraId="66CC9CF9" w14:textId="4FD0C893" w:rsidR="001B563A" w:rsidRPr="00260C27" w:rsidRDefault="006D4D17" w:rsidP="005E737A">
      <w:pPr>
        <w:rPr>
          <w:rFonts w:ascii="Arial" w:hAnsi="Arial" w:cs="Arial"/>
          <w:i/>
          <w:spacing w:val="4"/>
          <w:sz w:val="18"/>
          <w:szCs w:val="18"/>
        </w:rPr>
      </w:pPr>
      <w:r w:rsidRPr="00B3364F">
        <w:rPr>
          <w:rFonts w:ascii="Arial" w:hAnsi="Arial" w:cs="Arial"/>
          <w:i/>
          <w:spacing w:val="4"/>
          <w:sz w:val="18"/>
          <w:szCs w:val="18"/>
          <w:highlight w:val="lightGray"/>
        </w:rPr>
        <w:t>(2.</w:t>
      </w:r>
      <w:r w:rsidR="00B3364F" w:rsidRPr="00B3364F">
        <w:rPr>
          <w:rFonts w:ascii="Arial" w:hAnsi="Arial" w:cs="Arial"/>
          <w:i/>
          <w:spacing w:val="4"/>
          <w:sz w:val="18"/>
          <w:szCs w:val="18"/>
          <w:highlight w:val="lightGray"/>
        </w:rPr>
        <w:t>442</w:t>
      </w:r>
      <w:r w:rsidRPr="00B3364F">
        <w:rPr>
          <w:rFonts w:ascii="Arial" w:hAnsi="Arial" w:cs="Arial"/>
          <w:i/>
          <w:spacing w:val="4"/>
          <w:sz w:val="18"/>
          <w:szCs w:val="18"/>
          <w:highlight w:val="lightGray"/>
        </w:rPr>
        <w:t xml:space="preserve"> </w:t>
      </w:r>
      <w:r w:rsidR="00B3364F" w:rsidRPr="00B3364F">
        <w:rPr>
          <w:rFonts w:ascii="Arial" w:hAnsi="Arial" w:cs="Arial"/>
          <w:i/>
          <w:spacing w:val="4"/>
          <w:sz w:val="18"/>
          <w:szCs w:val="18"/>
          <w:highlight w:val="lightGray"/>
        </w:rPr>
        <w:t>Carácter</w:t>
      </w:r>
      <w:r w:rsidRPr="00B3364F">
        <w:rPr>
          <w:rFonts w:ascii="Arial" w:hAnsi="Arial" w:cs="Arial"/>
          <w:i/>
          <w:spacing w:val="4"/>
          <w:sz w:val="18"/>
          <w:szCs w:val="18"/>
          <w:highlight w:val="lightGray"/>
        </w:rPr>
        <w:t>)</w:t>
      </w:r>
    </w:p>
    <w:p w14:paraId="4D7A42D1" w14:textId="77777777" w:rsidR="005E737A" w:rsidRPr="005E737A" w:rsidRDefault="005E737A" w:rsidP="005E737A">
      <w:pPr>
        <w:rPr>
          <w:rFonts w:ascii="Arial" w:hAnsi="Arial" w:cs="Arial"/>
        </w:rPr>
      </w:pPr>
    </w:p>
    <w:p w14:paraId="498DCC30" w14:textId="4528C950" w:rsidR="00C42118" w:rsidRDefault="00C42118" w:rsidP="003957F5">
      <w:pPr>
        <w:autoSpaceDE w:val="0"/>
        <w:autoSpaceDN w:val="0"/>
        <w:adjustRightInd w:val="0"/>
        <w:spacing w:line="360" w:lineRule="auto"/>
        <w:jc w:val="both"/>
        <w:rPr>
          <w:rFonts w:ascii="Arial" w:hAnsi="Arial" w:cs="Arial"/>
          <w:sz w:val="18"/>
          <w:szCs w:val="18"/>
        </w:rPr>
      </w:pPr>
    </w:p>
    <w:p w14:paraId="34B5F4D5" w14:textId="77777777" w:rsidR="00B4187D" w:rsidRDefault="00B4187D" w:rsidP="003957F5">
      <w:pPr>
        <w:autoSpaceDE w:val="0"/>
        <w:autoSpaceDN w:val="0"/>
        <w:adjustRightInd w:val="0"/>
        <w:spacing w:line="360" w:lineRule="auto"/>
        <w:jc w:val="both"/>
        <w:rPr>
          <w:rFonts w:ascii="Arial" w:hAnsi="Arial" w:cs="Arial"/>
          <w:sz w:val="18"/>
          <w:szCs w:val="18"/>
        </w:rPr>
      </w:pPr>
    </w:p>
    <w:p w14:paraId="1EAD09C8" w14:textId="31C98838" w:rsidR="00265F31" w:rsidRDefault="00265F31" w:rsidP="005E7ED8">
      <w:pPr>
        <w:autoSpaceDE w:val="0"/>
        <w:autoSpaceDN w:val="0"/>
        <w:adjustRightInd w:val="0"/>
        <w:spacing w:line="360" w:lineRule="auto"/>
        <w:jc w:val="both"/>
        <w:rPr>
          <w:rFonts w:ascii="Arial" w:hAnsi="Arial" w:cs="Arial"/>
          <w:sz w:val="18"/>
          <w:szCs w:val="18"/>
        </w:rPr>
      </w:pPr>
    </w:p>
    <w:p w14:paraId="1F4BB8FE" w14:textId="57A55FE3" w:rsidR="009638AC" w:rsidRDefault="009638AC" w:rsidP="009638AC">
      <w:pPr>
        <w:autoSpaceDE w:val="0"/>
        <w:autoSpaceDN w:val="0"/>
        <w:adjustRightInd w:val="0"/>
        <w:spacing w:line="360" w:lineRule="auto"/>
        <w:jc w:val="both"/>
        <w:rPr>
          <w:rFonts w:ascii="Arial" w:hAnsi="Arial" w:cs="Arial"/>
          <w:b/>
          <w:sz w:val="32"/>
          <w:szCs w:val="32"/>
        </w:rPr>
      </w:pPr>
      <w:r>
        <w:rPr>
          <w:rFonts w:ascii="Arial" w:hAnsi="Arial" w:cs="Arial"/>
          <w:sz w:val="18"/>
          <w:szCs w:val="18"/>
        </w:rPr>
        <w:br w:type="page"/>
      </w:r>
      <w:r>
        <w:rPr>
          <w:rFonts w:ascii="Arial" w:hAnsi="Arial" w:cs="Arial"/>
          <w:b/>
          <w:sz w:val="32"/>
          <w:szCs w:val="32"/>
        </w:rPr>
        <w:lastRenderedPageBreak/>
        <w:t>Material fotográfico</w:t>
      </w:r>
    </w:p>
    <w:p w14:paraId="40386521" w14:textId="4E8C67B2" w:rsidR="0067471C" w:rsidRPr="0067471C" w:rsidRDefault="0067471C" w:rsidP="009638AC">
      <w:pPr>
        <w:autoSpaceDE w:val="0"/>
        <w:autoSpaceDN w:val="0"/>
        <w:adjustRightInd w:val="0"/>
        <w:spacing w:line="360" w:lineRule="auto"/>
        <w:jc w:val="both"/>
        <w:rPr>
          <w:rFonts w:ascii="Arial" w:hAnsi="Arial" w:cs="Arial"/>
          <w:sz w:val="18"/>
          <w:szCs w:val="18"/>
        </w:rPr>
      </w:pPr>
      <w:r>
        <w:rPr>
          <w:rFonts w:ascii="Arial" w:hAnsi="Arial" w:cs="Arial"/>
          <w:sz w:val="18"/>
          <w:szCs w:val="18"/>
        </w:rPr>
        <w:t>Fuente de imagen: Theben AG</w:t>
      </w:r>
    </w:p>
    <w:p w14:paraId="22A80FEE" w14:textId="77777777" w:rsidR="00D90B51" w:rsidRDefault="00D90B51" w:rsidP="009638AC">
      <w:pPr>
        <w:autoSpaceDE w:val="0"/>
        <w:autoSpaceDN w:val="0"/>
        <w:adjustRightInd w:val="0"/>
        <w:spacing w:line="360" w:lineRule="auto"/>
        <w:jc w:val="both"/>
        <w:rPr>
          <w:rFonts w:ascii="Arial" w:hAnsi="Arial" w:cs="Arial"/>
          <w:i/>
          <w:sz w:val="18"/>
          <w:szCs w:val="18"/>
        </w:rPr>
      </w:pPr>
    </w:p>
    <w:p w14:paraId="28E6FBB1" w14:textId="77777777" w:rsidR="00D90B51" w:rsidRDefault="00D90B51" w:rsidP="009638AC">
      <w:pPr>
        <w:autoSpaceDE w:val="0"/>
        <w:autoSpaceDN w:val="0"/>
        <w:adjustRightInd w:val="0"/>
        <w:spacing w:line="360" w:lineRule="auto"/>
        <w:jc w:val="both"/>
        <w:rPr>
          <w:rFonts w:ascii="Arial" w:hAnsi="Arial" w:cs="Arial"/>
          <w:i/>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520"/>
        <w:gridCol w:w="3869"/>
      </w:tblGrid>
      <w:tr w:rsidR="00D90B51" w14:paraId="70364FC0" w14:textId="77777777" w:rsidTr="00B3364F">
        <w:tc>
          <w:tcPr>
            <w:tcW w:w="4673" w:type="dxa"/>
          </w:tcPr>
          <w:p w14:paraId="1C7734F2" w14:textId="266B61F6" w:rsidR="00D90B51" w:rsidRDefault="00D90B51" w:rsidP="00B3364F">
            <w:pPr>
              <w:autoSpaceDE w:val="0"/>
              <w:autoSpaceDN w:val="0"/>
              <w:adjustRightInd w:val="0"/>
              <w:spacing w:line="276" w:lineRule="auto"/>
              <w:jc w:val="both"/>
              <w:rPr>
                <w:rFonts w:ascii="Arial" w:hAnsi="Arial" w:cs="Arial"/>
                <w:i/>
                <w:sz w:val="18"/>
                <w:szCs w:val="18"/>
              </w:rPr>
            </w:pPr>
            <w:r w:rsidRPr="00D90B51">
              <w:rPr>
                <w:rFonts w:ascii="Arial" w:hAnsi="Arial" w:cs="Arial"/>
                <w:i/>
                <w:noProof/>
                <w:sz w:val="18"/>
                <w:szCs w:val="18"/>
              </w:rPr>
              <w:drawing>
                <wp:inline distT="0" distB="0" distL="0" distR="0" wp14:anchorId="3854BC69" wp14:editId="75725F87">
                  <wp:extent cx="1714500" cy="1600004"/>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29518" cy="1614019"/>
                          </a:xfrm>
                          <a:prstGeom prst="rect">
                            <a:avLst/>
                          </a:prstGeom>
                        </pic:spPr>
                      </pic:pic>
                    </a:graphicData>
                  </a:graphic>
                </wp:inline>
              </w:drawing>
            </w:r>
            <w:r w:rsidR="00B3364F">
              <w:rPr>
                <w:rFonts w:ascii="Arial" w:hAnsi="Arial" w:cs="Arial"/>
                <w:i/>
                <w:sz w:val="18"/>
                <w:szCs w:val="18"/>
              </w:rPr>
              <w:br/>
            </w:r>
          </w:p>
        </w:tc>
        <w:tc>
          <w:tcPr>
            <w:tcW w:w="520" w:type="dxa"/>
          </w:tcPr>
          <w:p w14:paraId="2436E150" w14:textId="77777777" w:rsidR="00D90B51" w:rsidRDefault="00D90B51" w:rsidP="00B3364F">
            <w:pPr>
              <w:autoSpaceDE w:val="0"/>
              <w:autoSpaceDN w:val="0"/>
              <w:adjustRightInd w:val="0"/>
              <w:spacing w:line="276" w:lineRule="auto"/>
              <w:ind w:left="708" w:hanging="708"/>
              <w:jc w:val="both"/>
              <w:rPr>
                <w:rFonts w:ascii="Arial" w:hAnsi="Arial" w:cs="Arial"/>
                <w:i/>
                <w:sz w:val="18"/>
                <w:szCs w:val="18"/>
              </w:rPr>
            </w:pPr>
          </w:p>
        </w:tc>
        <w:tc>
          <w:tcPr>
            <w:tcW w:w="3869" w:type="dxa"/>
          </w:tcPr>
          <w:p w14:paraId="686E72C8" w14:textId="5F8BDE1D" w:rsidR="00D90B51" w:rsidRDefault="00D90B51" w:rsidP="00B3364F">
            <w:pPr>
              <w:autoSpaceDE w:val="0"/>
              <w:autoSpaceDN w:val="0"/>
              <w:adjustRightInd w:val="0"/>
              <w:spacing w:line="276" w:lineRule="auto"/>
              <w:jc w:val="both"/>
              <w:rPr>
                <w:rFonts w:ascii="Arial" w:hAnsi="Arial" w:cs="Arial"/>
                <w:i/>
                <w:sz w:val="18"/>
                <w:szCs w:val="18"/>
              </w:rPr>
            </w:pPr>
            <w:r w:rsidRPr="00D90B51">
              <w:rPr>
                <w:rFonts w:ascii="Arial" w:hAnsi="Arial" w:cs="Arial"/>
                <w:i/>
                <w:noProof/>
                <w:sz w:val="18"/>
                <w:szCs w:val="18"/>
              </w:rPr>
              <w:drawing>
                <wp:inline distT="0" distB="0" distL="0" distR="0" wp14:anchorId="13D4E7F6" wp14:editId="2FB90B5B">
                  <wp:extent cx="1724660" cy="1586927"/>
                  <wp:effectExtent l="0" t="0" r="889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36204" cy="1597549"/>
                          </a:xfrm>
                          <a:prstGeom prst="rect">
                            <a:avLst/>
                          </a:prstGeom>
                        </pic:spPr>
                      </pic:pic>
                    </a:graphicData>
                  </a:graphic>
                </wp:inline>
              </w:drawing>
            </w:r>
          </w:p>
        </w:tc>
      </w:tr>
      <w:tr w:rsidR="00D90B51" w:rsidRPr="002F4704" w14:paraId="5C144AF9" w14:textId="77777777" w:rsidTr="00B3364F">
        <w:tc>
          <w:tcPr>
            <w:tcW w:w="4673" w:type="dxa"/>
          </w:tcPr>
          <w:p w14:paraId="6E9E6492" w14:textId="14059244" w:rsidR="00D90B51" w:rsidRPr="002F4704" w:rsidRDefault="00B3364F" w:rsidP="00B3364F">
            <w:pPr>
              <w:autoSpaceDE w:val="0"/>
              <w:autoSpaceDN w:val="0"/>
              <w:adjustRightInd w:val="0"/>
              <w:spacing w:line="276" w:lineRule="auto"/>
              <w:rPr>
                <w:rFonts w:ascii="Arial" w:hAnsi="Arial" w:cs="Arial"/>
                <w:i/>
                <w:sz w:val="18"/>
                <w:szCs w:val="18"/>
                <w:lang w:val="de-DE"/>
              </w:rPr>
            </w:pPr>
            <w:r w:rsidRPr="00B3364F">
              <w:rPr>
                <w:rFonts w:ascii="Arial" w:hAnsi="Arial" w:cs="Arial"/>
                <w:i/>
                <w:sz w:val="18"/>
                <w:szCs w:val="18"/>
                <w:highlight w:val="lightGray"/>
              </w:rPr>
              <w:t>Pie de foto</w:t>
            </w:r>
            <w:r w:rsidR="00D90B51" w:rsidRPr="00B3364F">
              <w:rPr>
                <w:rFonts w:ascii="Arial" w:hAnsi="Arial" w:cs="Arial"/>
                <w:i/>
                <w:sz w:val="18"/>
                <w:szCs w:val="18"/>
                <w:highlight w:val="lightGray"/>
              </w:rPr>
              <w:t>:</w:t>
            </w:r>
            <w:r w:rsidR="00D90B51">
              <w:rPr>
                <w:rFonts w:ascii="Arial" w:hAnsi="Arial" w:cs="Arial"/>
                <w:color w:val="000000" w:themeColor="text1"/>
                <w:spacing w:val="4"/>
                <w:sz w:val="18"/>
                <w:szCs w:val="18"/>
              </w:rPr>
              <w:t xml:space="preserve"> Los detectores de movimiento y de presencia theMura dan una impresión excelente por su diseño especialmente plano y atractivo.</w:t>
            </w:r>
            <w:r w:rsidR="00D90B51">
              <w:rPr>
                <w:rFonts w:ascii="Arial" w:hAnsi="Arial" w:cs="Arial"/>
                <w:color w:val="000000" w:themeColor="text1"/>
                <w:spacing w:val="4"/>
                <w:sz w:val="18"/>
                <w:szCs w:val="18"/>
              </w:rPr>
              <w:br/>
            </w:r>
            <w:proofErr w:type="spellStart"/>
            <w:r w:rsidRPr="00B3364F">
              <w:rPr>
                <w:rFonts w:ascii="Arial" w:hAnsi="Arial" w:cs="Arial"/>
                <w:i/>
                <w:sz w:val="18"/>
                <w:szCs w:val="18"/>
                <w:highlight w:val="lightGray"/>
                <w:lang w:val="de-DE"/>
              </w:rPr>
              <w:t>Fichero</w:t>
            </w:r>
            <w:proofErr w:type="spellEnd"/>
            <w:r w:rsidRPr="00B3364F">
              <w:rPr>
                <w:rFonts w:ascii="Arial" w:hAnsi="Arial" w:cs="Arial"/>
                <w:i/>
                <w:sz w:val="18"/>
                <w:szCs w:val="18"/>
                <w:highlight w:val="lightGray"/>
                <w:lang w:val="de-DE"/>
              </w:rPr>
              <w:t>:</w:t>
            </w:r>
            <w:r w:rsidR="00D90B51" w:rsidRPr="002F4704">
              <w:rPr>
                <w:rFonts w:ascii="Arial" w:hAnsi="Arial" w:cs="Arial"/>
                <w:i/>
                <w:sz w:val="18"/>
                <w:szCs w:val="18"/>
                <w:lang w:val="de-DE"/>
              </w:rPr>
              <w:t xml:space="preserve"> theMura_2060650-16-02_NN_PI-128_300dpi.jpg</w:t>
            </w:r>
          </w:p>
        </w:tc>
        <w:tc>
          <w:tcPr>
            <w:tcW w:w="520" w:type="dxa"/>
          </w:tcPr>
          <w:p w14:paraId="4D851D90" w14:textId="77777777" w:rsidR="00D90B51" w:rsidRPr="002F4704" w:rsidRDefault="00D90B51" w:rsidP="00B3364F">
            <w:pPr>
              <w:autoSpaceDE w:val="0"/>
              <w:autoSpaceDN w:val="0"/>
              <w:adjustRightInd w:val="0"/>
              <w:spacing w:line="276" w:lineRule="auto"/>
              <w:jc w:val="both"/>
              <w:rPr>
                <w:rFonts w:ascii="Arial" w:hAnsi="Arial" w:cs="Arial"/>
                <w:i/>
                <w:sz w:val="18"/>
                <w:szCs w:val="18"/>
                <w:lang w:val="de-DE"/>
              </w:rPr>
            </w:pPr>
          </w:p>
        </w:tc>
        <w:tc>
          <w:tcPr>
            <w:tcW w:w="3869" w:type="dxa"/>
          </w:tcPr>
          <w:p w14:paraId="54A3AE87" w14:textId="77777777" w:rsidR="00D90B51" w:rsidRDefault="00B3364F" w:rsidP="00B3364F">
            <w:pPr>
              <w:autoSpaceDE w:val="0"/>
              <w:autoSpaceDN w:val="0"/>
              <w:adjustRightInd w:val="0"/>
              <w:spacing w:line="276" w:lineRule="auto"/>
              <w:rPr>
                <w:rFonts w:ascii="Arial" w:hAnsi="Arial" w:cs="Arial"/>
                <w:i/>
                <w:sz w:val="18"/>
                <w:szCs w:val="18"/>
                <w:lang w:val="en-US"/>
              </w:rPr>
            </w:pPr>
            <w:r w:rsidRPr="00B3364F">
              <w:rPr>
                <w:rFonts w:ascii="Arial" w:hAnsi="Arial" w:cs="Arial"/>
                <w:i/>
                <w:sz w:val="18"/>
                <w:szCs w:val="18"/>
                <w:highlight w:val="lightGray"/>
              </w:rPr>
              <w:t>Pie de foto:</w:t>
            </w:r>
            <w:r w:rsidR="004F5636">
              <w:rPr>
                <w:rFonts w:ascii="Arial" w:hAnsi="Arial" w:cs="Arial"/>
                <w:color w:val="000000" w:themeColor="text1"/>
                <w:spacing w:val="4"/>
                <w:sz w:val="18"/>
                <w:szCs w:val="18"/>
              </w:rPr>
              <w:t xml:space="preserve"> El LED de estado rojo señaliza los estados del detector durante la programación por aplicación o mando a distancia</w:t>
            </w:r>
            <w:r w:rsidR="004F5636">
              <w:rPr>
                <w:rFonts w:ascii="Arial" w:hAnsi="Arial" w:cs="Arial"/>
                <w:color w:val="000000" w:themeColor="text1"/>
                <w:spacing w:val="4"/>
                <w:sz w:val="18"/>
                <w:szCs w:val="18"/>
              </w:rPr>
              <w:br/>
            </w:r>
            <w:proofErr w:type="spellStart"/>
            <w:r w:rsidRPr="00B3364F">
              <w:rPr>
                <w:rFonts w:ascii="Arial" w:hAnsi="Arial" w:cs="Arial"/>
                <w:i/>
                <w:sz w:val="18"/>
                <w:szCs w:val="18"/>
                <w:highlight w:val="lightGray"/>
                <w:lang w:val="en-US"/>
              </w:rPr>
              <w:t>Fichero</w:t>
            </w:r>
            <w:proofErr w:type="spellEnd"/>
            <w:r w:rsidRPr="00B3364F">
              <w:rPr>
                <w:rFonts w:ascii="Arial" w:hAnsi="Arial" w:cs="Arial"/>
                <w:i/>
                <w:sz w:val="18"/>
                <w:szCs w:val="18"/>
                <w:highlight w:val="lightGray"/>
                <w:lang w:val="en-US"/>
              </w:rPr>
              <w:t>:</w:t>
            </w:r>
            <w:r w:rsidRPr="00B3364F">
              <w:rPr>
                <w:rFonts w:ascii="Arial" w:hAnsi="Arial" w:cs="Arial"/>
                <w:i/>
                <w:sz w:val="18"/>
                <w:szCs w:val="18"/>
                <w:lang w:val="en-US"/>
              </w:rPr>
              <w:t xml:space="preserve"> </w:t>
            </w:r>
            <w:r w:rsidR="004F5636" w:rsidRPr="00B3364F">
              <w:rPr>
                <w:rFonts w:ascii="Arial" w:hAnsi="Arial" w:cs="Arial"/>
                <w:i/>
                <w:sz w:val="18"/>
                <w:szCs w:val="18"/>
                <w:lang w:val="en-US"/>
              </w:rPr>
              <w:t>theMura_2060650-01-01_NN_PI-16_300dpi.jpg</w:t>
            </w:r>
          </w:p>
          <w:p w14:paraId="06CC0624" w14:textId="75CD00C6" w:rsidR="00B3364F" w:rsidRPr="00B3364F" w:rsidRDefault="00B3364F" w:rsidP="00B3364F">
            <w:pPr>
              <w:autoSpaceDE w:val="0"/>
              <w:autoSpaceDN w:val="0"/>
              <w:adjustRightInd w:val="0"/>
              <w:spacing w:line="276" w:lineRule="auto"/>
              <w:rPr>
                <w:rFonts w:ascii="Arial" w:hAnsi="Arial" w:cs="Arial"/>
                <w:i/>
                <w:sz w:val="18"/>
                <w:szCs w:val="18"/>
                <w:lang w:val="en-US"/>
              </w:rPr>
            </w:pPr>
          </w:p>
        </w:tc>
      </w:tr>
      <w:tr w:rsidR="00D90B51" w:rsidRPr="002F4704" w14:paraId="6516AD79" w14:textId="77777777" w:rsidTr="00B3364F">
        <w:tc>
          <w:tcPr>
            <w:tcW w:w="4673" w:type="dxa"/>
          </w:tcPr>
          <w:p w14:paraId="30DCC078" w14:textId="77777777" w:rsidR="00D90B51" w:rsidRDefault="00D90B51" w:rsidP="00B3364F">
            <w:pPr>
              <w:autoSpaceDE w:val="0"/>
              <w:autoSpaceDN w:val="0"/>
              <w:adjustRightInd w:val="0"/>
              <w:spacing w:line="276" w:lineRule="auto"/>
              <w:jc w:val="both"/>
              <w:rPr>
                <w:rFonts w:ascii="Arial" w:hAnsi="Arial" w:cs="Arial"/>
                <w:i/>
                <w:sz w:val="18"/>
                <w:szCs w:val="18"/>
                <w:lang w:val="en-US"/>
              </w:rPr>
            </w:pPr>
          </w:p>
          <w:p w14:paraId="1E0BFB91" w14:textId="77777777" w:rsidR="00B3364F" w:rsidRDefault="00B3364F" w:rsidP="00B3364F">
            <w:pPr>
              <w:autoSpaceDE w:val="0"/>
              <w:autoSpaceDN w:val="0"/>
              <w:adjustRightInd w:val="0"/>
              <w:spacing w:line="276" w:lineRule="auto"/>
              <w:jc w:val="both"/>
              <w:rPr>
                <w:rFonts w:ascii="Arial" w:hAnsi="Arial" w:cs="Arial"/>
                <w:i/>
                <w:sz w:val="18"/>
                <w:szCs w:val="18"/>
                <w:lang w:val="en-US"/>
              </w:rPr>
            </w:pPr>
          </w:p>
          <w:p w14:paraId="118D1FA1" w14:textId="1FD0885C" w:rsidR="00B3364F" w:rsidRPr="00B3364F" w:rsidRDefault="00B3364F" w:rsidP="00B3364F">
            <w:pPr>
              <w:autoSpaceDE w:val="0"/>
              <w:autoSpaceDN w:val="0"/>
              <w:adjustRightInd w:val="0"/>
              <w:spacing w:line="276" w:lineRule="auto"/>
              <w:jc w:val="both"/>
              <w:rPr>
                <w:rFonts w:ascii="Arial" w:hAnsi="Arial" w:cs="Arial"/>
                <w:i/>
                <w:sz w:val="18"/>
                <w:szCs w:val="18"/>
                <w:lang w:val="en-US"/>
              </w:rPr>
            </w:pPr>
          </w:p>
        </w:tc>
        <w:tc>
          <w:tcPr>
            <w:tcW w:w="520" w:type="dxa"/>
          </w:tcPr>
          <w:p w14:paraId="6E032FEA" w14:textId="77777777" w:rsidR="00D90B51" w:rsidRPr="00B3364F" w:rsidRDefault="00D90B51" w:rsidP="00B3364F">
            <w:pPr>
              <w:autoSpaceDE w:val="0"/>
              <w:autoSpaceDN w:val="0"/>
              <w:adjustRightInd w:val="0"/>
              <w:spacing w:line="276" w:lineRule="auto"/>
              <w:jc w:val="both"/>
              <w:rPr>
                <w:rFonts w:ascii="Arial" w:hAnsi="Arial" w:cs="Arial"/>
                <w:i/>
                <w:sz w:val="18"/>
                <w:szCs w:val="18"/>
                <w:lang w:val="en-US"/>
              </w:rPr>
            </w:pPr>
          </w:p>
        </w:tc>
        <w:tc>
          <w:tcPr>
            <w:tcW w:w="3869" w:type="dxa"/>
          </w:tcPr>
          <w:p w14:paraId="0B520857" w14:textId="77777777" w:rsidR="00D90B51" w:rsidRPr="00B3364F" w:rsidRDefault="00D90B51" w:rsidP="00B3364F">
            <w:pPr>
              <w:autoSpaceDE w:val="0"/>
              <w:autoSpaceDN w:val="0"/>
              <w:adjustRightInd w:val="0"/>
              <w:spacing w:line="276" w:lineRule="auto"/>
              <w:jc w:val="both"/>
              <w:rPr>
                <w:rFonts w:ascii="Arial" w:hAnsi="Arial" w:cs="Arial"/>
                <w:i/>
                <w:sz w:val="18"/>
                <w:szCs w:val="18"/>
                <w:lang w:val="en-US"/>
              </w:rPr>
            </w:pPr>
          </w:p>
        </w:tc>
      </w:tr>
      <w:tr w:rsidR="00D90B51" w:rsidRPr="00D90B51" w14:paraId="4FBAC12B" w14:textId="77777777" w:rsidTr="00B3364F">
        <w:tc>
          <w:tcPr>
            <w:tcW w:w="4673" w:type="dxa"/>
          </w:tcPr>
          <w:p w14:paraId="3209D9D1" w14:textId="0776A2FE" w:rsidR="00D90B51" w:rsidRPr="00D90B51" w:rsidRDefault="00D90B51" w:rsidP="00B3364F">
            <w:pPr>
              <w:autoSpaceDE w:val="0"/>
              <w:autoSpaceDN w:val="0"/>
              <w:adjustRightInd w:val="0"/>
              <w:spacing w:line="276" w:lineRule="auto"/>
              <w:rPr>
                <w:rFonts w:ascii="Arial" w:hAnsi="Arial" w:cs="Arial"/>
                <w:i/>
                <w:sz w:val="18"/>
                <w:szCs w:val="18"/>
                <w:lang w:val="en-US"/>
              </w:rPr>
            </w:pPr>
            <w:r w:rsidRPr="00D90B51">
              <w:rPr>
                <w:rFonts w:ascii="Arial" w:hAnsi="Arial" w:cs="Arial"/>
                <w:i/>
                <w:noProof/>
                <w:sz w:val="18"/>
                <w:szCs w:val="18"/>
                <w:lang w:val="en-US"/>
              </w:rPr>
              <w:drawing>
                <wp:inline distT="0" distB="0" distL="0" distR="0" wp14:anchorId="6D579CB3" wp14:editId="44EC4C6C">
                  <wp:extent cx="1885950" cy="175263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94374" cy="1760461"/>
                          </a:xfrm>
                          <a:prstGeom prst="rect">
                            <a:avLst/>
                          </a:prstGeom>
                        </pic:spPr>
                      </pic:pic>
                    </a:graphicData>
                  </a:graphic>
                </wp:inline>
              </w:drawing>
            </w:r>
          </w:p>
        </w:tc>
        <w:tc>
          <w:tcPr>
            <w:tcW w:w="520" w:type="dxa"/>
          </w:tcPr>
          <w:p w14:paraId="3EF5FF1E" w14:textId="77777777" w:rsidR="00D90B51" w:rsidRPr="00D90B51" w:rsidRDefault="00D90B51" w:rsidP="00B3364F">
            <w:pPr>
              <w:autoSpaceDE w:val="0"/>
              <w:autoSpaceDN w:val="0"/>
              <w:adjustRightInd w:val="0"/>
              <w:spacing w:line="276" w:lineRule="auto"/>
              <w:rPr>
                <w:rFonts w:ascii="Arial" w:hAnsi="Arial" w:cs="Arial"/>
                <w:i/>
                <w:sz w:val="18"/>
                <w:szCs w:val="18"/>
                <w:lang w:val="en-US"/>
              </w:rPr>
            </w:pPr>
          </w:p>
        </w:tc>
        <w:tc>
          <w:tcPr>
            <w:tcW w:w="3869" w:type="dxa"/>
          </w:tcPr>
          <w:p w14:paraId="7E48F3B7" w14:textId="0099E9F2" w:rsidR="00D90B51" w:rsidRPr="00D90B51" w:rsidRDefault="00D90B51" w:rsidP="00B3364F">
            <w:pPr>
              <w:autoSpaceDE w:val="0"/>
              <w:autoSpaceDN w:val="0"/>
              <w:adjustRightInd w:val="0"/>
              <w:spacing w:line="276" w:lineRule="auto"/>
              <w:rPr>
                <w:rFonts w:ascii="Arial" w:hAnsi="Arial" w:cs="Arial"/>
                <w:i/>
                <w:sz w:val="18"/>
                <w:szCs w:val="18"/>
                <w:lang w:val="en-US"/>
              </w:rPr>
            </w:pPr>
            <w:r w:rsidRPr="00D90B51">
              <w:rPr>
                <w:rFonts w:ascii="Arial" w:hAnsi="Arial" w:cs="Arial"/>
                <w:i/>
                <w:noProof/>
                <w:sz w:val="18"/>
                <w:szCs w:val="18"/>
                <w:lang w:val="en-US"/>
              </w:rPr>
              <w:drawing>
                <wp:inline distT="0" distB="0" distL="0" distR="0" wp14:anchorId="250236D2" wp14:editId="0011E4F7">
                  <wp:extent cx="1962785" cy="1784350"/>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72408" cy="1793098"/>
                          </a:xfrm>
                          <a:prstGeom prst="rect">
                            <a:avLst/>
                          </a:prstGeom>
                        </pic:spPr>
                      </pic:pic>
                    </a:graphicData>
                  </a:graphic>
                </wp:inline>
              </w:drawing>
            </w:r>
            <w:r w:rsidR="00B3364F">
              <w:rPr>
                <w:rFonts w:ascii="Arial" w:hAnsi="Arial" w:cs="Arial"/>
                <w:i/>
                <w:sz w:val="18"/>
                <w:szCs w:val="18"/>
                <w:lang w:val="en-US"/>
              </w:rPr>
              <w:br/>
            </w:r>
          </w:p>
        </w:tc>
      </w:tr>
      <w:tr w:rsidR="00D90B51" w:rsidRPr="002F4704" w14:paraId="37D02831" w14:textId="77777777" w:rsidTr="00B3364F">
        <w:tc>
          <w:tcPr>
            <w:tcW w:w="4673" w:type="dxa"/>
          </w:tcPr>
          <w:p w14:paraId="4A917B0B" w14:textId="71AE63C9" w:rsidR="00D90B51" w:rsidRPr="002F4704" w:rsidRDefault="00B3364F" w:rsidP="00B3364F">
            <w:pPr>
              <w:autoSpaceDE w:val="0"/>
              <w:autoSpaceDN w:val="0"/>
              <w:adjustRightInd w:val="0"/>
              <w:spacing w:line="276" w:lineRule="auto"/>
              <w:rPr>
                <w:rFonts w:ascii="Arial" w:hAnsi="Arial" w:cs="Arial"/>
                <w:i/>
                <w:sz w:val="18"/>
                <w:szCs w:val="18"/>
                <w:lang w:val="de-DE"/>
              </w:rPr>
            </w:pPr>
            <w:r w:rsidRPr="00B3364F">
              <w:rPr>
                <w:rFonts w:ascii="Arial" w:hAnsi="Arial" w:cs="Arial"/>
                <w:i/>
                <w:sz w:val="18"/>
                <w:szCs w:val="18"/>
                <w:highlight w:val="lightGray"/>
              </w:rPr>
              <w:t>Pie de foto:</w:t>
            </w:r>
            <w:r w:rsidR="007D70BA">
              <w:rPr>
                <w:rFonts w:ascii="Arial" w:hAnsi="Arial" w:cs="Arial"/>
                <w:color w:val="000000" w:themeColor="text1"/>
                <w:spacing w:val="4"/>
                <w:sz w:val="18"/>
                <w:szCs w:val="18"/>
              </w:rPr>
              <w:t xml:space="preserve"> Gracias a la luz de orientación el detector de presencia theMura garantiza más seguridad en pasillos y escaleras.</w:t>
            </w:r>
            <w:r w:rsidR="007D70BA">
              <w:rPr>
                <w:rFonts w:ascii="Arial" w:hAnsi="Arial" w:cs="Arial"/>
                <w:color w:val="000000" w:themeColor="text1"/>
                <w:spacing w:val="4"/>
                <w:sz w:val="18"/>
                <w:szCs w:val="18"/>
              </w:rPr>
              <w:br/>
            </w:r>
            <w:proofErr w:type="spellStart"/>
            <w:r w:rsidRPr="00B3364F">
              <w:rPr>
                <w:rFonts w:ascii="Arial" w:hAnsi="Arial" w:cs="Arial"/>
                <w:i/>
                <w:sz w:val="18"/>
                <w:szCs w:val="18"/>
                <w:highlight w:val="lightGray"/>
                <w:lang w:val="de-DE"/>
              </w:rPr>
              <w:t>Fichero</w:t>
            </w:r>
            <w:proofErr w:type="spellEnd"/>
            <w:r w:rsidR="007D70BA" w:rsidRPr="00B3364F">
              <w:rPr>
                <w:rFonts w:ascii="Arial" w:hAnsi="Arial" w:cs="Arial"/>
                <w:i/>
                <w:sz w:val="18"/>
                <w:szCs w:val="18"/>
                <w:highlight w:val="lightGray"/>
                <w:lang w:val="de-DE"/>
              </w:rPr>
              <w:t>:</w:t>
            </w:r>
            <w:r>
              <w:rPr>
                <w:rFonts w:ascii="Arial" w:hAnsi="Arial" w:cs="Arial"/>
                <w:i/>
                <w:sz w:val="18"/>
                <w:szCs w:val="18"/>
                <w:lang w:val="de-DE"/>
              </w:rPr>
              <w:t xml:space="preserve"> </w:t>
            </w:r>
            <w:r w:rsidR="007D70BA" w:rsidRPr="002F4704">
              <w:rPr>
                <w:rFonts w:ascii="Arial" w:hAnsi="Arial" w:cs="Arial"/>
                <w:i/>
                <w:sz w:val="18"/>
                <w:szCs w:val="18"/>
                <w:lang w:val="de-DE"/>
              </w:rPr>
              <w:t>theMura_2060650-01-03_NN_PI-215_300dpi.jpg</w:t>
            </w:r>
          </w:p>
        </w:tc>
        <w:tc>
          <w:tcPr>
            <w:tcW w:w="520" w:type="dxa"/>
          </w:tcPr>
          <w:p w14:paraId="4A2A2877" w14:textId="77777777" w:rsidR="00D90B51" w:rsidRPr="002F4704" w:rsidRDefault="00D90B51" w:rsidP="00B3364F">
            <w:pPr>
              <w:autoSpaceDE w:val="0"/>
              <w:autoSpaceDN w:val="0"/>
              <w:adjustRightInd w:val="0"/>
              <w:spacing w:line="276" w:lineRule="auto"/>
              <w:rPr>
                <w:rFonts w:ascii="Arial" w:hAnsi="Arial" w:cs="Arial"/>
                <w:i/>
                <w:sz w:val="18"/>
                <w:szCs w:val="18"/>
                <w:lang w:val="de-DE"/>
              </w:rPr>
            </w:pPr>
          </w:p>
        </w:tc>
        <w:tc>
          <w:tcPr>
            <w:tcW w:w="3869" w:type="dxa"/>
          </w:tcPr>
          <w:p w14:paraId="4E5F4468" w14:textId="62F17F67" w:rsidR="00D90B51" w:rsidRPr="00B3364F" w:rsidRDefault="00B3364F" w:rsidP="00B3364F">
            <w:pPr>
              <w:autoSpaceDE w:val="0"/>
              <w:autoSpaceDN w:val="0"/>
              <w:adjustRightInd w:val="0"/>
              <w:spacing w:line="276" w:lineRule="auto"/>
              <w:rPr>
                <w:rFonts w:ascii="Arial" w:hAnsi="Arial" w:cs="Arial"/>
                <w:i/>
                <w:sz w:val="18"/>
                <w:szCs w:val="18"/>
              </w:rPr>
            </w:pPr>
            <w:r w:rsidRPr="00B3364F">
              <w:rPr>
                <w:rFonts w:ascii="Arial" w:hAnsi="Arial" w:cs="Arial"/>
                <w:i/>
                <w:sz w:val="18"/>
                <w:szCs w:val="18"/>
                <w:highlight w:val="lightGray"/>
              </w:rPr>
              <w:t>Pie de foto:</w:t>
            </w:r>
            <w:r w:rsidR="007D70BA">
              <w:rPr>
                <w:rFonts w:ascii="Arial" w:hAnsi="Arial" w:cs="Arial"/>
                <w:color w:val="000000" w:themeColor="text1"/>
                <w:spacing w:val="4"/>
                <w:sz w:val="18"/>
                <w:szCs w:val="18"/>
              </w:rPr>
              <w:t xml:space="preserve"> Con el pulsador integrado la iluminación también se puede encender y apagar manualmente.</w:t>
            </w:r>
            <w:r w:rsidR="007D70BA">
              <w:rPr>
                <w:rFonts w:ascii="Arial" w:hAnsi="Arial" w:cs="Arial"/>
                <w:color w:val="000000" w:themeColor="text1"/>
                <w:spacing w:val="4"/>
                <w:sz w:val="18"/>
                <w:szCs w:val="18"/>
              </w:rPr>
              <w:br/>
            </w:r>
            <w:proofErr w:type="spellStart"/>
            <w:r w:rsidRPr="00B3364F">
              <w:rPr>
                <w:rFonts w:ascii="Arial" w:hAnsi="Arial" w:cs="Arial"/>
                <w:i/>
                <w:sz w:val="18"/>
                <w:szCs w:val="18"/>
                <w:highlight w:val="lightGray"/>
                <w:lang w:val="de-DE"/>
              </w:rPr>
              <w:t>Fichero</w:t>
            </w:r>
            <w:proofErr w:type="spellEnd"/>
            <w:r w:rsidRPr="00B3364F">
              <w:rPr>
                <w:rFonts w:ascii="Arial" w:hAnsi="Arial" w:cs="Arial"/>
                <w:i/>
                <w:sz w:val="18"/>
                <w:szCs w:val="18"/>
                <w:highlight w:val="lightGray"/>
                <w:lang w:val="de-DE"/>
              </w:rPr>
              <w:t>:</w:t>
            </w:r>
            <w:r w:rsidR="007D70BA" w:rsidRPr="002F4704">
              <w:rPr>
                <w:rFonts w:ascii="Arial" w:hAnsi="Arial" w:cs="Arial"/>
                <w:i/>
                <w:sz w:val="18"/>
                <w:szCs w:val="18"/>
                <w:lang w:val="de-DE"/>
              </w:rPr>
              <w:t xml:space="preserve"> theMura_2060650-01-03_NN_PI-288_300dpi.jpg</w:t>
            </w:r>
          </w:p>
        </w:tc>
      </w:tr>
    </w:tbl>
    <w:p w14:paraId="32270DDE" w14:textId="110D0E84" w:rsidR="004B718A" w:rsidRDefault="004B718A" w:rsidP="00DF0819">
      <w:pPr>
        <w:autoSpaceDE w:val="0"/>
        <w:autoSpaceDN w:val="0"/>
        <w:adjustRightInd w:val="0"/>
        <w:spacing w:line="360" w:lineRule="auto"/>
        <w:jc w:val="both"/>
        <w:rPr>
          <w:rFonts w:ascii="Arial" w:hAnsi="Arial" w:cs="Arial"/>
          <w:i/>
          <w:sz w:val="18"/>
          <w:szCs w:val="18"/>
          <w:lang w:val="de-DE"/>
        </w:rPr>
      </w:pPr>
      <w:r>
        <w:rPr>
          <w:rFonts w:ascii="Arial" w:hAnsi="Arial" w:cs="Arial"/>
          <w:i/>
          <w:sz w:val="18"/>
          <w:szCs w:val="18"/>
          <w:lang w:val="de-DE"/>
        </w:rPr>
        <w:br w:type="page"/>
      </w:r>
    </w:p>
    <w:p w14:paraId="332EFE97" w14:textId="20E71464" w:rsidR="004B718A" w:rsidRPr="0067471C" w:rsidRDefault="004B718A" w:rsidP="004B718A">
      <w:pPr>
        <w:autoSpaceDE w:val="0"/>
        <w:autoSpaceDN w:val="0"/>
        <w:adjustRightInd w:val="0"/>
        <w:spacing w:line="360" w:lineRule="auto"/>
        <w:rPr>
          <w:rFonts w:ascii="Arial" w:hAnsi="Arial" w:cs="Arial"/>
          <w:sz w:val="18"/>
          <w:szCs w:val="18"/>
        </w:rPr>
      </w:pPr>
      <w:r w:rsidRPr="004B718A">
        <w:rPr>
          <w:rFonts w:ascii="Arial" w:hAnsi="Arial" w:cs="Arial"/>
          <w:b/>
          <w:sz w:val="32"/>
          <w:szCs w:val="32"/>
        </w:rPr>
        <w:lastRenderedPageBreak/>
        <w:t>Vídeo de montaje y puesta en marcha</w:t>
      </w:r>
      <w:r>
        <w:rPr>
          <w:rFonts w:ascii="Arial" w:hAnsi="Arial" w:cs="Arial"/>
          <w:b/>
          <w:sz w:val="32"/>
          <w:szCs w:val="32"/>
        </w:rPr>
        <w:br/>
      </w:r>
      <w:r>
        <w:rPr>
          <w:rFonts w:ascii="Arial" w:hAnsi="Arial" w:cs="Arial"/>
          <w:sz w:val="18"/>
          <w:szCs w:val="18"/>
        </w:rPr>
        <w:t>Fuente de imagen: Theben AG</w:t>
      </w:r>
    </w:p>
    <w:p w14:paraId="3CF2A0F1" w14:textId="02C7970C" w:rsidR="009638AC" w:rsidRDefault="009638AC" w:rsidP="00DF0819">
      <w:pPr>
        <w:autoSpaceDE w:val="0"/>
        <w:autoSpaceDN w:val="0"/>
        <w:adjustRightInd w:val="0"/>
        <w:spacing w:line="360" w:lineRule="auto"/>
        <w:jc w:val="both"/>
        <w:rPr>
          <w:rFonts w:ascii="Arial" w:hAnsi="Arial" w:cs="Arial"/>
          <w:i/>
          <w:sz w:val="18"/>
          <w:szCs w:val="18"/>
        </w:rPr>
      </w:pPr>
    </w:p>
    <w:p w14:paraId="4739A3E7" w14:textId="77777777" w:rsidR="0067636E" w:rsidRPr="00531052" w:rsidRDefault="0067636E" w:rsidP="0067636E">
      <w:pPr>
        <w:autoSpaceDE w:val="0"/>
        <w:autoSpaceDN w:val="0"/>
        <w:adjustRightInd w:val="0"/>
        <w:spacing w:line="360" w:lineRule="auto"/>
        <w:jc w:val="both"/>
        <w:rPr>
          <w:rFonts w:ascii="Arial" w:hAnsi="Arial" w:cs="Arial"/>
          <w:iCs/>
          <w:sz w:val="18"/>
          <w:szCs w:val="18"/>
        </w:rPr>
      </w:pPr>
      <w:r w:rsidRPr="000A506F">
        <w:rPr>
          <w:rFonts w:ascii="Arial" w:hAnsi="Arial" w:cs="Arial"/>
          <w:iCs/>
          <w:noProof/>
          <w:sz w:val="18"/>
          <w:szCs w:val="18"/>
        </w:rPr>
        <w:drawing>
          <wp:inline distT="0" distB="0" distL="0" distR="0" wp14:anchorId="0951A026" wp14:editId="1B79935F">
            <wp:extent cx="4340507" cy="2442014"/>
            <wp:effectExtent l="0" t="0" r="3175" b="0"/>
            <wp:docPr id="7" name="Grafik 7"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enthält.&#10;&#10;Automatisch generierte Beschreibung"/>
                    <pic:cNvPicPr/>
                  </pic:nvPicPr>
                  <pic:blipFill>
                    <a:blip r:embed="rId12"/>
                    <a:stretch>
                      <a:fillRect/>
                    </a:stretch>
                  </pic:blipFill>
                  <pic:spPr>
                    <a:xfrm>
                      <a:off x="0" y="0"/>
                      <a:ext cx="4344530" cy="2444277"/>
                    </a:xfrm>
                    <a:prstGeom prst="rect">
                      <a:avLst/>
                    </a:prstGeom>
                  </pic:spPr>
                </pic:pic>
              </a:graphicData>
            </a:graphic>
          </wp:inline>
        </w:drawing>
      </w:r>
      <w:r>
        <w:rPr>
          <w:rFonts w:ascii="Arial" w:hAnsi="Arial" w:cs="Arial"/>
          <w:iCs/>
          <w:sz w:val="18"/>
          <w:szCs w:val="18"/>
        </w:rPr>
        <w:br/>
      </w:r>
      <w:r w:rsidRPr="000A506F">
        <w:rPr>
          <w:rFonts w:ascii="Arial" w:hAnsi="Arial" w:cs="Arial"/>
          <w:i/>
          <w:sz w:val="18"/>
          <w:szCs w:val="18"/>
          <w:u w:val="single"/>
        </w:rPr>
        <w:br/>
        <w:t>https://youtu.be/xWNLlBYMIDk</w:t>
      </w:r>
      <w:r>
        <w:rPr>
          <w:rFonts w:ascii="Arial" w:hAnsi="Arial" w:cs="Arial"/>
          <w:iCs/>
          <w:sz w:val="18"/>
          <w:szCs w:val="18"/>
        </w:rPr>
        <w:t xml:space="preserve"> (</w:t>
      </w:r>
      <w:r w:rsidRPr="00700588">
        <w:rPr>
          <w:rFonts w:ascii="Arial" w:hAnsi="Arial" w:cs="Arial"/>
          <w:iCs/>
          <w:sz w:val="18"/>
          <w:szCs w:val="18"/>
        </w:rPr>
        <w:t xml:space="preserve">en </w:t>
      </w:r>
      <w:proofErr w:type="spellStart"/>
      <w:r w:rsidRPr="00700588">
        <w:rPr>
          <w:rFonts w:ascii="Arial" w:hAnsi="Arial" w:cs="Arial"/>
          <w:iCs/>
          <w:sz w:val="18"/>
          <w:szCs w:val="18"/>
        </w:rPr>
        <w:t>anglais</w:t>
      </w:r>
      <w:proofErr w:type="spellEnd"/>
      <w:r>
        <w:rPr>
          <w:rFonts w:ascii="Arial" w:hAnsi="Arial" w:cs="Arial"/>
          <w:iCs/>
          <w:sz w:val="18"/>
          <w:szCs w:val="18"/>
        </w:rPr>
        <w:t>)</w:t>
      </w:r>
    </w:p>
    <w:p w14:paraId="3DFA5272" w14:textId="77777777" w:rsidR="0067636E" w:rsidRPr="004B718A" w:rsidRDefault="0067636E" w:rsidP="00DF0819">
      <w:pPr>
        <w:autoSpaceDE w:val="0"/>
        <w:autoSpaceDN w:val="0"/>
        <w:adjustRightInd w:val="0"/>
        <w:spacing w:line="360" w:lineRule="auto"/>
        <w:jc w:val="both"/>
        <w:rPr>
          <w:rFonts w:ascii="Arial" w:hAnsi="Arial" w:cs="Arial"/>
          <w:i/>
          <w:sz w:val="18"/>
          <w:szCs w:val="18"/>
        </w:rPr>
      </w:pPr>
    </w:p>
    <w:sectPr w:rsidR="0067636E" w:rsidRPr="004B718A" w:rsidSect="00B06BD8">
      <w:headerReference w:type="default" r:id="rId13"/>
      <w:footerReference w:type="default" r:id="rId14"/>
      <w:pgSz w:w="11906" w:h="16838"/>
      <w:pgMar w:top="3402"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52DFFF" w14:textId="77777777" w:rsidR="001B5CAB" w:rsidRDefault="001B5CAB">
      <w:r>
        <w:separator/>
      </w:r>
    </w:p>
  </w:endnote>
  <w:endnote w:type="continuationSeparator" w:id="0">
    <w:p w14:paraId="206430A5" w14:textId="77777777" w:rsidR="001B5CAB" w:rsidRDefault="001B5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Times"/>
    <w:panose1 w:val="02020603050405020304"/>
    <w:charset w:val="00"/>
    <w:family w:val="roman"/>
    <w:pitch w:val="variable"/>
    <w:sig w:usb0="E0002EFF" w:usb1="C000785B" w:usb2="00000009" w:usb3="00000000" w:csb0="000001FF" w:csb1="00000000"/>
  </w:font>
  <w:font w:name="FrutigerLTCom-LightCn">
    <w:altName w:val="Cambri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NettoOffcPro-Bold">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71E37" w14:textId="6934DE18" w:rsidR="00EE766C" w:rsidRPr="00E54804" w:rsidRDefault="00EE766C">
    <w:pPr>
      <w:pStyle w:val="Fuzeile"/>
      <w:rPr>
        <w:rFonts w:ascii="Arial" w:hAnsi="Arial" w:cs="Arial"/>
        <w:color w:val="4F81BD" w:themeColor="accent1"/>
        <w:sz w:val="12"/>
        <w:szCs w:val="12"/>
      </w:rPr>
    </w:pPr>
    <w:r>
      <w:rPr>
        <w:rFonts w:ascii="Arial" w:hAnsi="Arial" w:cs="Arial"/>
        <w:color w:val="4F81BD" w:themeColor="accent1"/>
        <w:sz w:val="12"/>
        <w:szCs w:val="12"/>
      </w:rPr>
      <w:t xml:space="preserve">Página </w:t>
    </w:r>
    <w:r>
      <w:rPr>
        <w:rFonts w:ascii="Arial" w:hAnsi="Arial" w:cs="Arial"/>
        <w:color w:val="4F81BD" w:themeColor="accent1"/>
        <w:sz w:val="12"/>
        <w:szCs w:val="12"/>
      </w:rPr>
      <w:fldChar w:fldCharType="begin"/>
    </w:r>
    <w:r>
      <w:rPr>
        <w:rFonts w:ascii="Arial" w:hAnsi="Arial" w:cs="Arial"/>
        <w:noProof/>
        <w:color w:val="4F81BD" w:themeColor="accent1"/>
        <w:sz w:val="12"/>
        <w:szCs w:val="12"/>
      </w:rPr>
      <w:instrText xml:space="preserve"> PAGE </w:instrText>
    </w:r>
    <w:r>
      <w:fldChar w:fldCharType="separate"/>
    </w:r>
    <w:r>
      <w:rPr>
        <w:rFonts w:ascii="Arial" w:hAnsi="Arial" w:cs="Arial"/>
        <w:noProof/>
        <w:color w:val="4F81BD" w:themeColor="accent1"/>
        <w:sz w:val="12"/>
        <w:szCs w:val="12"/>
      </w:rPr>
      <w:t>2</w:t>
    </w:r>
    <w:r>
      <w:fldChar w:fldCharType="end"/>
    </w:r>
    <w:r>
      <w:rPr>
        <w:rFonts w:ascii="Arial" w:hAnsi="Arial" w:cs="Arial"/>
        <w:color w:val="4F81BD" w:themeColor="accent1"/>
        <w:sz w:val="12"/>
        <w:szCs w:val="12"/>
      </w:rPr>
      <w:t xml:space="preserve"> de </w:t>
    </w:r>
    <w:r>
      <w:rPr>
        <w:rFonts w:ascii="Arial" w:hAnsi="Arial" w:cs="Arial"/>
        <w:color w:val="4F81BD" w:themeColor="accent1"/>
        <w:sz w:val="12"/>
        <w:szCs w:val="12"/>
      </w:rPr>
      <w:fldChar w:fldCharType="begin"/>
    </w:r>
    <w:r>
      <w:rPr>
        <w:rFonts w:ascii="Arial" w:hAnsi="Arial" w:cs="Arial"/>
        <w:noProof/>
        <w:color w:val="4F81BD" w:themeColor="accent1"/>
        <w:sz w:val="12"/>
        <w:szCs w:val="12"/>
      </w:rPr>
      <w:instrText xml:space="preserve"> NUMPAGES </w:instrText>
    </w:r>
    <w:r>
      <w:fldChar w:fldCharType="separate"/>
    </w:r>
    <w:r>
      <w:rPr>
        <w:rFonts w:ascii="Arial" w:hAnsi="Arial" w:cs="Arial"/>
        <w:noProof/>
        <w:color w:val="4F81BD" w:themeColor="accent1"/>
        <w:sz w:val="12"/>
        <w:szCs w:val="12"/>
      </w:rP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C924CF" w14:textId="77777777" w:rsidR="001B5CAB" w:rsidRDefault="001B5CAB">
      <w:r>
        <w:separator/>
      </w:r>
    </w:p>
  </w:footnote>
  <w:footnote w:type="continuationSeparator" w:id="0">
    <w:p w14:paraId="6E8AB66B" w14:textId="77777777" w:rsidR="001B5CAB" w:rsidRDefault="001B5C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F6AD7" w14:textId="40337253" w:rsidR="00EE766C" w:rsidRPr="004D159C" w:rsidRDefault="00446A03" w:rsidP="005C4ABD">
    <w:pPr>
      <w:pStyle w:val="Kopfzeile"/>
      <w:jc w:val="right"/>
    </w:pPr>
    <w:r>
      <w:rPr>
        <w:noProof/>
      </w:rPr>
      <mc:AlternateContent>
        <mc:Choice Requires="wps">
          <w:drawing>
            <wp:anchor distT="0" distB="0" distL="114300" distR="114300" simplePos="0" relativeHeight="251657728" behindDoc="0" locked="0" layoutInCell="1" allowOverlap="1" wp14:anchorId="39B3D523" wp14:editId="3A5DEBFF">
              <wp:simplePos x="0" y="0"/>
              <wp:positionH relativeFrom="column">
                <wp:posOffset>-113665</wp:posOffset>
              </wp:positionH>
              <wp:positionV relativeFrom="paragraph">
                <wp:posOffset>251460</wp:posOffset>
              </wp:positionV>
              <wp:extent cx="3444240" cy="617220"/>
              <wp:effectExtent l="0" t="0" r="0" b="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4240" cy="617220"/>
                      </a:xfrm>
                      <a:prstGeom prst="rect">
                        <a:avLst/>
                      </a:prstGeom>
                      <a:solidFill>
                        <a:srgbClr val="FFFFFF"/>
                      </a:solidFill>
                      <a:ln>
                        <a:noFill/>
                      </a:ln>
                    </wps:spPr>
                    <wps:txbx>
                      <w:txbxContent>
                        <w:p w14:paraId="70F2EC62" w14:textId="4155BDD0" w:rsidR="00EE766C" w:rsidRPr="009B365C" w:rsidRDefault="00EE766C" w:rsidP="009F06FC">
                          <w:pPr>
                            <w:rPr>
                              <w:rFonts w:ascii="Arial" w:hAnsi="Arial" w:cs="Arial"/>
                              <w:color w:val="4F81BD" w:themeColor="accent1"/>
                              <w:sz w:val="14"/>
                              <w:szCs w:val="14"/>
                            </w:rPr>
                          </w:pPr>
                          <w:r>
                            <w:rPr>
                              <w:rFonts w:ascii="Arial" w:hAnsi="Arial" w:cs="Arial"/>
                              <w:color w:val="0A3063"/>
                              <w:sz w:val="14"/>
                              <w:szCs w:val="14"/>
                            </w:rPr>
                            <w:t>Nota de prensa</w:t>
                          </w:r>
                          <w:r>
                            <w:rPr>
                              <w:rFonts w:ascii="Arial" w:hAnsi="Arial" w:cs="Arial"/>
                              <w:color w:val="0A3063"/>
                              <w:sz w:val="14"/>
                              <w:szCs w:val="14"/>
                            </w:rPr>
                            <w:br/>
                          </w:r>
                          <w:r>
                            <w:rPr>
                              <w:rFonts w:ascii="Arial" w:hAnsi="Arial" w:cs="Arial"/>
                              <w:color w:val="4F81BD" w:themeColor="accent1"/>
                              <w:sz w:val="14"/>
                              <w:szCs w:val="14"/>
                            </w:rPr>
                            <w:t>Detector de presencia/movimiento theMura KNX / LUXORliving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9B3D523" id="_x0000_t202" coordsize="21600,21600" o:spt="202" path="m,l,21600r21600,l21600,xe">
              <v:stroke joinstyle="miter"/>
              <v:path gradientshapeok="t" o:connecttype="rect"/>
            </v:shapetype>
            <v:shape id="Text Box 1" o:spid="_x0000_s1026" type="#_x0000_t202" style="position:absolute;left:0;text-align:left;margin-left:-8.95pt;margin-top:19.8pt;width:271.2pt;height:48.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" stroked="f">
              <v:textbox>
                <w:txbxContent>
                  <w:p w14:paraId="70F2EC62" w14:textId="4155BDD0" w:rsidR="00EE766C" w:rsidRPr="009B365C" w:rsidRDefault="00EE766C" w:rsidP="009F06FC">
                    <w:pPr>
                      <w:rPr>
                        <w:rFonts w:ascii="Arial" w:hAnsi="Arial" w:cs="Arial"/>
                        <w:color w:val="4F81BD" w:themeColor="accent1"/>
                        <w:sz w:val="14"/>
                        <w:szCs w:val="14"/>
                      </w:rPr>
                    </w:pPr>
                    <w:r>
                      <w:rPr>
                        <w:rFonts w:ascii="Arial" w:hAnsi="Arial" w:cs="Arial"/>
                        <w:color w:val="0A3063"/>
                        <w:sz w:val="14"/>
                        <w:szCs w:val="14"/>
                      </w:rPr>
                      <w:t xml:space="preserve">Nota de prensa</w:t>
                      <w:br/>
                    </w:r>
                    <w:r>
                      <w:rPr>
                        <w:rFonts w:ascii="Arial" w:hAnsi="Arial" w:cs="Arial"/>
                        <w:color w:val="4F81BD" w:themeColor="accent1"/>
                        <w:sz w:val="14"/>
                        <w:szCs w:val="14"/>
                      </w:rPr>
                      <w:t xml:space="preserve">Detector de presencia/movimiento theMura KNX / LUXORliving</w:t>
                    </w:r>
                  </w:p>
                </w:txbxContent>
              </v:textbox>
            </v:shape>
          </w:pict>
        </mc:Fallback>
      </mc:AlternateContent>
    </w:r>
    <w:r w:rsidR="00EE766C">
      <w:br/>
    </w:r>
    <w:r w:rsidR="00EE766C" w:rsidRPr="009F06FC">
      <w:rPr>
        <w:noProof/>
      </w:rPr>
      <w:drawing>
        <wp:inline distT="0" distB="0" distL="0" distR="0" wp14:anchorId="6751D297" wp14:editId="36751DE9">
          <wp:extent cx="1871472" cy="432816"/>
          <wp:effectExtent l="0" t="0" r="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1871472" cy="43281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A724F"/>
    <w:multiLevelType w:val="hybridMultilevel"/>
    <w:tmpl w:val="32762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F73BC"/>
    <w:multiLevelType w:val="hybridMultilevel"/>
    <w:tmpl w:val="8F3C59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D6E81"/>
    <w:multiLevelType w:val="hybridMultilevel"/>
    <w:tmpl w:val="387A31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E4034C5"/>
    <w:multiLevelType w:val="hybridMultilevel"/>
    <w:tmpl w:val="F272C6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E868F3"/>
    <w:multiLevelType w:val="hybridMultilevel"/>
    <w:tmpl w:val="692C5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0186105"/>
    <w:multiLevelType w:val="hybridMultilevel"/>
    <w:tmpl w:val="75C2ECFA"/>
    <w:lvl w:ilvl="0" w:tplc="F9D8689A">
      <w:start w:val="1"/>
      <w:numFmt w:val="bullet"/>
      <w:lvlText w:val="•"/>
      <w:lvlJc w:val="left"/>
      <w:pPr>
        <w:ind w:left="720" w:hanging="360"/>
      </w:pPr>
      <w:rPr>
        <w:rFonts w:ascii="Times" w:hAnsi="Time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C433C8B"/>
    <w:multiLevelType w:val="hybridMultilevel"/>
    <w:tmpl w:val="4BA8BD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EE83A07"/>
    <w:multiLevelType w:val="hybridMultilevel"/>
    <w:tmpl w:val="35B0E9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EFB2133"/>
    <w:multiLevelType w:val="hybridMultilevel"/>
    <w:tmpl w:val="C37ABF4A"/>
    <w:lvl w:ilvl="0" w:tplc="F9D8689A">
      <w:start w:val="1"/>
      <w:numFmt w:val="bullet"/>
      <w:lvlText w:val="•"/>
      <w:lvlJc w:val="left"/>
      <w:pPr>
        <w:tabs>
          <w:tab w:val="num" w:pos="720"/>
        </w:tabs>
        <w:ind w:left="720" w:hanging="360"/>
      </w:pPr>
      <w:rPr>
        <w:rFonts w:ascii="Times" w:hAnsi="Times" w:hint="default"/>
      </w:rPr>
    </w:lvl>
    <w:lvl w:ilvl="1" w:tplc="4EACB1E2">
      <w:start w:val="1"/>
      <w:numFmt w:val="bullet"/>
      <w:lvlText w:val="•"/>
      <w:lvlJc w:val="left"/>
      <w:pPr>
        <w:tabs>
          <w:tab w:val="num" w:pos="1440"/>
        </w:tabs>
        <w:ind w:left="1440" w:hanging="360"/>
      </w:pPr>
      <w:rPr>
        <w:rFonts w:ascii="Times" w:hAnsi="Times" w:hint="default"/>
      </w:rPr>
    </w:lvl>
    <w:lvl w:ilvl="2" w:tplc="C0BEB3FE" w:tentative="1">
      <w:start w:val="1"/>
      <w:numFmt w:val="bullet"/>
      <w:lvlText w:val="•"/>
      <w:lvlJc w:val="left"/>
      <w:pPr>
        <w:tabs>
          <w:tab w:val="num" w:pos="2160"/>
        </w:tabs>
        <w:ind w:left="2160" w:hanging="360"/>
      </w:pPr>
      <w:rPr>
        <w:rFonts w:ascii="Times" w:hAnsi="Times" w:hint="default"/>
      </w:rPr>
    </w:lvl>
    <w:lvl w:ilvl="3" w:tplc="A30ECC20" w:tentative="1">
      <w:start w:val="1"/>
      <w:numFmt w:val="bullet"/>
      <w:lvlText w:val="•"/>
      <w:lvlJc w:val="left"/>
      <w:pPr>
        <w:tabs>
          <w:tab w:val="num" w:pos="2880"/>
        </w:tabs>
        <w:ind w:left="2880" w:hanging="360"/>
      </w:pPr>
      <w:rPr>
        <w:rFonts w:ascii="Times" w:hAnsi="Times" w:hint="default"/>
      </w:rPr>
    </w:lvl>
    <w:lvl w:ilvl="4" w:tplc="6E30C2A0" w:tentative="1">
      <w:start w:val="1"/>
      <w:numFmt w:val="bullet"/>
      <w:lvlText w:val="•"/>
      <w:lvlJc w:val="left"/>
      <w:pPr>
        <w:tabs>
          <w:tab w:val="num" w:pos="3600"/>
        </w:tabs>
        <w:ind w:left="3600" w:hanging="360"/>
      </w:pPr>
      <w:rPr>
        <w:rFonts w:ascii="Times" w:hAnsi="Times" w:hint="default"/>
      </w:rPr>
    </w:lvl>
    <w:lvl w:ilvl="5" w:tplc="FBC6841A" w:tentative="1">
      <w:start w:val="1"/>
      <w:numFmt w:val="bullet"/>
      <w:lvlText w:val="•"/>
      <w:lvlJc w:val="left"/>
      <w:pPr>
        <w:tabs>
          <w:tab w:val="num" w:pos="4320"/>
        </w:tabs>
        <w:ind w:left="4320" w:hanging="360"/>
      </w:pPr>
      <w:rPr>
        <w:rFonts w:ascii="Times" w:hAnsi="Times" w:hint="default"/>
      </w:rPr>
    </w:lvl>
    <w:lvl w:ilvl="6" w:tplc="3C70F47C" w:tentative="1">
      <w:start w:val="1"/>
      <w:numFmt w:val="bullet"/>
      <w:lvlText w:val="•"/>
      <w:lvlJc w:val="left"/>
      <w:pPr>
        <w:tabs>
          <w:tab w:val="num" w:pos="5040"/>
        </w:tabs>
        <w:ind w:left="5040" w:hanging="360"/>
      </w:pPr>
      <w:rPr>
        <w:rFonts w:ascii="Times" w:hAnsi="Times" w:hint="default"/>
      </w:rPr>
    </w:lvl>
    <w:lvl w:ilvl="7" w:tplc="C3F8B90C" w:tentative="1">
      <w:start w:val="1"/>
      <w:numFmt w:val="bullet"/>
      <w:lvlText w:val="•"/>
      <w:lvlJc w:val="left"/>
      <w:pPr>
        <w:tabs>
          <w:tab w:val="num" w:pos="5760"/>
        </w:tabs>
        <w:ind w:left="5760" w:hanging="360"/>
      </w:pPr>
      <w:rPr>
        <w:rFonts w:ascii="Times" w:hAnsi="Times" w:hint="default"/>
      </w:rPr>
    </w:lvl>
    <w:lvl w:ilvl="8" w:tplc="9C060826" w:tentative="1">
      <w:start w:val="1"/>
      <w:numFmt w:val="bullet"/>
      <w:lvlText w:val="•"/>
      <w:lvlJc w:val="left"/>
      <w:pPr>
        <w:tabs>
          <w:tab w:val="num" w:pos="6480"/>
        </w:tabs>
        <w:ind w:left="6480" w:hanging="360"/>
      </w:pPr>
      <w:rPr>
        <w:rFonts w:ascii="Times" w:hAnsi="Times" w:hint="default"/>
      </w:rPr>
    </w:lvl>
  </w:abstractNum>
  <w:abstractNum w:abstractNumId="9" w15:restartNumberingAfterBreak="0">
    <w:nsid w:val="2F5B0002"/>
    <w:multiLevelType w:val="hybridMultilevel"/>
    <w:tmpl w:val="E274FF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BA57BD8"/>
    <w:multiLevelType w:val="hybridMultilevel"/>
    <w:tmpl w:val="3BD81F6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48511C75"/>
    <w:multiLevelType w:val="hybridMultilevel"/>
    <w:tmpl w:val="E06AE1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C8B379F"/>
    <w:multiLevelType w:val="hybridMultilevel"/>
    <w:tmpl w:val="2F52BF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DDA7109"/>
    <w:multiLevelType w:val="hybridMultilevel"/>
    <w:tmpl w:val="19506712"/>
    <w:lvl w:ilvl="0" w:tplc="524478F0">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15:restartNumberingAfterBreak="0">
    <w:nsid w:val="51CD6E8B"/>
    <w:multiLevelType w:val="hybridMultilevel"/>
    <w:tmpl w:val="14C62F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61C30E3"/>
    <w:multiLevelType w:val="hybridMultilevel"/>
    <w:tmpl w:val="62F6FED8"/>
    <w:lvl w:ilvl="0" w:tplc="F110AE26">
      <w:numFmt w:val="bullet"/>
      <w:lvlText w:val=""/>
      <w:lvlJc w:val="left"/>
      <w:pPr>
        <w:ind w:left="720" w:hanging="360"/>
      </w:pPr>
      <w:rPr>
        <w:rFonts w:ascii="Wingdings" w:eastAsia="Times New Roman" w:hAnsi="Wingdings" w:cs="FrutigerLTCom-LightC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76D4749"/>
    <w:multiLevelType w:val="hybridMultilevel"/>
    <w:tmpl w:val="DB82A4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ACA3D90"/>
    <w:multiLevelType w:val="hybridMultilevel"/>
    <w:tmpl w:val="1D6CFDE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8" w15:restartNumberingAfterBreak="0">
    <w:nsid w:val="600B5EE6"/>
    <w:multiLevelType w:val="hybridMultilevel"/>
    <w:tmpl w:val="ADCE67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04217FD"/>
    <w:multiLevelType w:val="hybridMultilevel"/>
    <w:tmpl w:val="D654F6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D1D1026"/>
    <w:multiLevelType w:val="hybridMultilevel"/>
    <w:tmpl w:val="61CA1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4"/>
  </w:num>
  <w:num w:numId="2">
    <w:abstractNumId w:val="16"/>
  </w:num>
  <w:num w:numId="3">
    <w:abstractNumId w:val="6"/>
  </w:num>
  <w:num w:numId="4">
    <w:abstractNumId w:val="12"/>
  </w:num>
  <w:num w:numId="5">
    <w:abstractNumId w:val="19"/>
  </w:num>
  <w:num w:numId="6">
    <w:abstractNumId w:val="11"/>
  </w:num>
  <w:num w:numId="7">
    <w:abstractNumId w:val="20"/>
  </w:num>
  <w:num w:numId="8">
    <w:abstractNumId w:val="18"/>
  </w:num>
  <w:num w:numId="9">
    <w:abstractNumId w:val="1"/>
  </w:num>
  <w:num w:numId="10">
    <w:abstractNumId w:val="2"/>
  </w:num>
  <w:num w:numId="11">
    <w:abstractNumId w:val="13"/>
  </w:num>
  <w:num w:numId="12">
    <w:abstractNumId w:val="0"/>
  </w:num>
  <w:num w:numId="13">
    <w:abstractNumId w:val="15"/>
  </w:num>
  <w:num w:numId="14">
    <w:abstractNumId w:val="4"/>
  </w:num>
  <w:num w:numId="15">
    <w:abstractNumId w:val="10"/>
  </w:num>
  <w:num w:numId="16">
    <w:abstractNumId w:val="9"/>
  </w:num>
  <w:num w:numId="17">
    <w:abstractNumId w:val="17"/>
  </w:num>
  <w:num w:numId="18">
    <w:abstractNumId w:val="5"/>
  </w:num>
  <w:num w:numId="19">
    <w:abstractNumId w:val="8"/>
  </w:num>
  <w:num w:numId="20">
    <w:abstractNumId w:val="7"/>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1DBA"/>
    <w:rsid w:val="00000600"/>
    <w:rsid w:val="00005435"/>
    <w:rsid w:val="000054FD"/>
    <w:rsid w:val="00005846"/>
    <w:rsid w:val="00010618"/>
    <w:rsid w:val="00013042"/>
    <w:rsid w:val="00015AE3"/>
    <w:rsid w:val="000164CC"/>
    <w:rsid w:val="00022369"/>
    <w:rsid w:val="000225E8"/>
    <w:rsid w:val="00027A5D"/>
    <w:rsid w:val="00030071"/>
    <w:rsid w:val="00032B3F"/>
    <w:rsid w:val="0003343F"/>
    <w:rsid w:val="0003537E"/>
    <w:rsid w:val="00040BD2"/>
    <w:rsid w:val="00041EE7"/>
    <w:rsid w:val="00042909"/>
    <w:rsid w:val="000437C7"/>
    <w:rsid w:val="00044FA3"/>
    <w:rsid w:val="000469AE"/>
    <w:rsid w:val="00047A29"/>
    <w:rsid w:val="0005042F"/>
    <w:rsid w:val="00057132"/>
    <w:rsid w:val="000574D4"/>
    <w:rsid w:val="000575F9"/>
    <w:rsid w:val="00060499"/>
    <w:rsid w:val="000709E1"/>
    <w:rsid w:val="00071ECC"/>
    <w:rsid w:val="0007340A"/>
    <w:rsid w:val="000767D3"/>
    <w:rsid w:val="00080ACD"/>
    <w:rsid w:val="00080B17"/>
    <w:rsid w:val="0008100A"/>
    <w:rsid w:val="000833ED"/>
    <w:rsid w:val="00083749"/>
    <w:rsid w:val="00083AD3"/>
    <w:rsid w:val="000862DE"/>
    <w:rsid w:val="00087048"/>
    <w:rsid w:val="00087B59"/>
    <w:rsid w:val="00090F84"/>
    <w:rsid w:val="00092C11"/>
    <w:rsid w:val="0009463E"/>
    <w:rsid w:val="00095584"/>
    <w:rsid w:val="000A0A4A"/>
    <w:rsid w:val="000A1B2B"/>
    <w:rsid w:val="000A1FCE"/>
    <w:rsid w:val="000A4695"/>
    <w:rsid w:val="000A470D"/>
    <w:rsid w:val="000A742C"/>
    <w:rsid w:val="000A7713"/>
    <w:rsid w:val="000B0C37"/>
    <w:rsid w:val="000B2C1B"/>
    <w:rsid w:val="000B4B8E"/>
    <w:rsid w:val="000B7BE5"/>
    <w:rsid w:val="000C24C7"/>
    <w:rsid w:val="000C59FA"/>
    <w:rsid w:val="000C625F"/>
    <w:rsid w:val="000C6DF4"/>
    <w:rsid w:val="000C717D"/>
    <w:rsid w:val="000D03F8"/>
    <w:rsid w:val="000D08B9"/>
    <w:rsid w:val="000D11C4"/>
    <w:rsid w:val="000D193B"/>
    <w:rsid w:val="000D375F"/>
    <w:rsid w:val="000D4EC0"/>
    <w:rsid w:val="000D5800"/>
    <w:rsid w:val="000D59C5"/>
    <w:rsid w:val="000D67CD"/>
    <w:rsid w:val="000E23CD"/>
    <w:rsid w:val="000E3B3C"/>
    <w:rsid w:val="000E3E9B"/>
    <w:rsid w:val="000F433A"/>
    <w:rsid w:val="000F445C"/>
    <w:rsid w:val="000F4796"/>
    <w:rsid w:val="00116866"/>
    <w:rsid w:val="00117B02"/>
    <w:rsid w:val="001217DD"/>
    <w:rsid w:val="001221F2"/>
    <w:rsid w:val="00127A3B"/>
    <w:rsid w:val="0013039D"/>
    <w:rsid w:val="00130978"/>
    <w:rsid w:val="00131914"/>
    <w:rsid w:val="00133C37"/>
    <w:rsid w:val="00134524"/>
    <w:rsid w:val="0013637E"/>
    <w:rsid w:val="00136450"/>
    <w:rsid w:val="00136C03"/>
    <w:rsid w:val="00136FE8"/>
    <w:rsid w:val="00137879"/>
    <w:rsid w:val="0014050B"/>
    <w:rsid w:val="00142D13"/>
    <w:rsid w:val="001433FF"/>
    <w:rsid w:val="00145328"/>
    <w:rsid w:val="001454DE"/>
    <w:rsid w:val="00150959"/>
    <w:rsid w:val="00150FC1"/>
    <w:rsid w:val="001529A2"/>
    <w:rsid w:val="00153723"/>
    <w:rsid w:val="001540FD"/>
    <w:rsid w:val="001550D4"/>
    <w:rsid w:val="001553BA"/>
    <w:rsid w:val="001555FC"/>
    <w:rsid w:val="00155B30"/>
    <w:rsid w:val="001618A0"/>
    <w:rsid w:val="001642D0"/>
    <w:rsid w:val="001705FD"/>
    <w:rsid w:val="0017202D"/>
    <w:rsid w:val="00174F4E"/>
    <w:rsid w:val="001768F1"/>
    <w:rsid w:val="00176F07"/>
    <w:rsid w:val="001771B9"/>
    <w:rsid w:val="00180AD7"/>
    <w:rsid w:val="001811C2"/>
    <w:rsid w:val="00181524"/>
    <w:rsid w:val="00181B9F"/>
    <w:rsid w:val="001872F2"/>
    <w:rsid w:val="00190019"/>
    <w:rsid w:val="001943F2"/>
    <w:rsid w:val="001A16F0"/>
    <w:rsid w:val="001A3732"/>
    <w:rsid w:val="001A7353"/>
    <w:rsid w:val="001B2EFA"/>
    <w:rsid w:val="001B3185"/>
    <w:rsid w:val="001B4745"/>
    <w:rsid w:val="001B563A"/>
    <w:rsid w:val="001B5CAB"/>
    <w:rsid w:val="001B649A"/>
    <w:rsid w:val="001B65C5"/>
    <w:rsid w:val="001C35D4"/>
    <w:rsid w:val="001C3ACE"/>
    <w:rsid w:val="001C63AE"/>
    <w:rsid w:val="001C6AFB"/>
    <w:rsid w:val="001C7795"/>
    <w:rsid w:val="001D0DE8"/>
    <w:rsid w:val="001D3D75"/>
    <w:rsid w:val="001E0137"/>
    <w:rsid w:val="001E0AEE"/>
    <w:rsid w:val="001E3419"/>
    <w:rsid w:val="001E37E9"/>
    <w:rsid w:val="001E3AD3"/>
    <w:rsid w:val="001F1476"/>
    <w:rsid w:val="001F2DE2"/>
    <w:rsid w:val="001F32E6"/>
    <w:rsid w:val="001F3EB0"/>
    <w:rsid w:val="00201320"/>
    <w:rsid w:val="00203D85"/>
    <w:rsid w:val="002155D8"/>
    <w:rsid w:val="00220CA8"/>
    <w:rsid w:val="002241B0"/>
    <w:rsid w:val="002268E8"/>
    <w:rsid w:val="00226903"/>
    <w:rsid w:val="0023062D"/>
    <w:rsid w:val="00233D58"/>
    <w:rsid w:val="00243B5C"/>
    <w:rsid w:val="00243F10"/>
    <w:rsid w:val="00244B50"/>
    <w:rsid w:val="0025066D"/>
    <w:rsid w:val="002541A0"/>
    <w:rsid w:val="00254C67"/>
    <w:rsid w:val="00254D5C"/>
    <w:rsid w:val="00255D03"/>
    <w:rsid w:val="002603D8"/>
    <w:rsid w:val="0026089B"/>
    <w:rsid w:val="00260B89"/>
    <w:rsid w:val="00260C27"/>
    <w:rsid w:val="00262055"/>
    <w:rsid w:val="00262581"/>
    <w:rsid w:val="002633C8"/>
    <w:rsid w:val="00265F31"/>
    <w:rsid w:val="0026654C"/>
    <w:rsid w:val="002702EA"/>
    <w:rsid w:val="00272330"/>
    <w:rsid w:val="00273B61"/>
    <w:rsid w:val="00276433"/>
    <w:rsid w:val="00276D78"/>
    <w:rsid w:val="0028207D"/>
    <w:rsid w:val="00290E6E"/>
    <w:rsid w:val="00293B93"/>
    <w:rsid w:val="002975E3"/>
    <w:rsid w:val="002A05DF"/>
    <w:rsid w:val="002A2C91"/>
    <w:rsid w:val="002A30BF"/>
    <w:rsid w:val="002B4308"/>
    <w:rsid w:val="002B6626"/>
    <w:rsid w:val="002C2CA7"/>
    <w:rsid w:val="002C325B"/>
    <w:rsid w:val="002C4E84"/>
    <w:rsid w:val="002C5BC6"/>
    <w:rsid w:val="002C6461"/>
    <w:rsid w:val="002D115F"/>
    <w:rsid w:val="002D13AA"/>
    <w:rsid w:val="002D147A"/>
    <w:rsid w:val="002D2104"/>
    <w:rsid w:val="002D606A"/>
    <w:rsid w:val="002D60F3"/>
    <w:rsid w:val="002D77B4"/>
    <w:rsid w:val="002E1417"/>
    <w:rsid w:val="002E14A6"/>
    <w:rsid w:val="002E223D"/>
    <w:rsid w:val="002E35F4"/>
    <w:rsid w:val="002E4E69"/>
    <w:rsid w:val="002F1D13"/>
    <w:rsid w:val="002F4704"/>
    <w:rsid w:val="002F4B10"/>
    <w:rsid w:val="002F4DB3"/>
    <w:rsid w:val="002F4F3D"/>
    <w:rsid w:val="002F558A"/>
    <w:rsid w:val="002F5FF6"/>
    <w:rsid w:val="002F7D7C"/>
    <w:rsid w:val="00302750"/>
    <w:rsid w:val="00302948"/>
    <w:rsid w:val="003052BB"/>
    <w:rsid w:val="003062EC"/>
    <w:rsid w:val="0031162C"/>
    <w:rsid w:val="00312283"/>
    <w:rsid w:val="003140DD"/>
    <w:rsid w:val="0031429B"/>
    <w:rsid w:val="00315B5F"/>
    <w:rsid w:val="003275EF"/>
    <w:rsid w:val="0033110B"/>
    <w:rsid w:val="00333232"/>
    <w:rsid w:val="003332E0"/>
    <w:rsid w:val="00334E53"/>
    <w:rsid w:val="00342234"/>
    <w:rsid w:val="00342B28"/>
    <w:rsid w:val="003458CA"/>
    <w:rsid w:val="003475CB"/>
    <w:rsid w:val="00347BE2"/>
    <w:rsid w:val="00347CE3"/>
    <w:rsid w:val="003519F5"/>
    <w:rsid w:val="00354493"/>
    <w:rsid w:val="00354C19"/>
    <w:rsid w:val="0035512F"/>
    <w:rsid w:val="00360684"/>
    <w:rsid w:val="003633DF"/>
    <w:rsid w:val="0036378A"/>
    <w:rsid w:val="003669B7"/>
    <w:rsid w:val="00373E98"/>
    <w:rsid w:val="00376E0B"/>
    <w:rsid w:val="003771F4"/>
    <w:rsid w:val="00377AB8"/>
    <w:rsid w:val="00380AA7"/>
    <w:rsid w:val="00380D74"/>
    <w:rsid w:val="003840D0"/>
    <w:rsid w:val="00385E01"/>
    <w:rsid w:val="003909CF"/>
    <w:rsid w:val="0039551A"/>
    <w:rsid w:val="003957F5"/>
    <w:rsid w:val="00395C6A"/>
    <w:rsid w:val="0039641A"/>
    <w:rsid w:val="00397E54"/>
    <w:rsid w:val="003A0394"/>
    <w:rsid w:val="003A4776"/>
    <w:rsid w:val="003B0ED7"/>
    <w:rsid w:val="003B1FE9"/>
    <w:rsid w:val="003B351A"/>
    <w:rsid w:val="003C05A9"/>
    <w:rsid w:val="003C0698"/>
    <w:rsid w:val="003C14D4"/>
    <w:rsid w:val="003C1657"/>
    <w:rsid w:val="003C1F63"/>
    <w:rsid w:val="003C2125"/>
    <w:rsid w:val="003C218F"/>
    <w:rsid w:val="003C326C"/>
    <w:rsid w:val="003C6834"/>
    <w:rsid w:val="003C6AF6"/>
    <w:rsid w:val="003D22A8"/>
    <w:rsid w:val="003D3874"/>
    <w:rsid w:val="003D722E"/>
    <w:rsid w:val="003D7DE7"/>
    <w:rsid w:val="003E0A59"/>
    <w:rsid w:val="003E344A"/>
    <w:rsid w:val="003E7359"/>
    <w:rsid w:val="003E7B0C"/>
    <w:rsid w:val="003F0D99"/>
    <w:rsid w:val="003F1A31"/>
    <w:rsid w:val="003F2C32"/>
    <w:rsid w:val="003F5BFA"/>
    <w:rsid w:val="0040390B"/>
    <w:rsid w:val="00403A46"/>
    <w:rsid w:val="00405122"/>
    <w:rsid w:val="0041006D"/>
    <w:rsid w:val="0041048B"/>
    <w:rsid w:val="00410764"/>
    <w:rsid w:val="00413B14"/>
    <w:rsid w:val="00415F57"/>
    <w:rsid w:val="004208B1"/>
    <w:rsid w:val="00421812"/>
    <w:rsid w:val="004238FF"/>
    <w:rsid w:val="00424B1F"/>
    <w:rsid w:val="00427896"/>
    <w:rsid w:val="00444D39"/>
    <w:rsid w:val="00445361"/>
    <w:rsid w:val="00446A03"/>
    <w:rsid w:val="00450B32"/>
    <w:rsid w:val="00450DF7"/>
    <w:rsid w:val="00452EAE"/>
    <w:rsid w:val="004540CD"/>
    <w:rsid w:val="00456376"/>
    <w:rsid w:val="004578EF"/>
    <w:rsid w:val="00462BC4"/>
    <w:rsid w:val="0046686E"/>
    <w:rsid w:val="004715A4"/>
    <w:rsid w:val="00473124"/>
    <w:rsid w:val="00473631"/>
    <w:rsid w:val="0047396B"/>
    <w:rsid w:val="004771CF"/>
    <w:rsid w:val="00480259"/>
    <w:rsid w:val="00482A6B"/>
    <w:rsid w:val="00483C16"/>
    <w:rsid w:val="00485C6A"/>
    <w:rsid w:val="004867D5"/>
    <w:rsid w:val="00486D48"/>
    <w:rsid w:val="00490A77"/>
    <w:rsid w:val="004A0170"/>
    <w:rsid w:val="004A1788"/>
    <w:rsid w:val="004A1A06"/>
    <w:rsid w:val="004A1D9E"/>
    <w:rsid w:val="004A3B4B"/>
    <w:rsid w:val="004A3D7A"/>
    <w:rsid w:val="004A634D"/>
    <w:rsid w:val="004B3D5B"/>
    <w:rsid w:val="004B562D"/>
    <w:rsid w:val="004B602C"/>
    <w:rsid w:val="004B718A"/>
    <w:rsid w:val="004B73E8"/>
    <w:rsid w:val="004C11E2"/>
    <w:rsid w:val="004C2156"/>
    <w:rsid w:val="004C5C6E"/>
    <w:rsid w:val="004C653F"/>
    <w:rsid w:val="004C656E"/>
    <w:rsid w:val="004C74B1"/>
    <w:rsid w:val="004C761A"/>
    <w:rsid w:val="004C7B73"/>
    <w:rsid w:val="004D20A0"/>
    <w:rsid w:val="004D5352"/>
    <w:rsid w:val="004D5695"/>
    <w:rsid w:val="004D6293"/>
    <w:rsid w:val="004F2A5C"/>
    <w:rsid w:val="004F3D68"/>
    <w:rsid w:val="004F4323"/>
    <w:rsid w:val="004F5636"/>
    <w:rsid w:val="00511DBA"/>
    <w:rsid w:val="00515D89"/>
    <w:rsid w:val="005175B3"/>
    <w:rsid w:val="0051799D"/>
    <w:rsid w:val="00522F0E"/>
    <w:rsid w:val="005231CC"/>
    <w:rsid w:val="00525BC1"/>
    <w:rsid w:val="00526BAF"/>
    <w:rsid w:val="00526DFE"/>
    <w:rsid w:val="00533670"/>
    <w:rsid w:val="005342C2"/>
    <w:rsid w:val="00536492"/>
    <w:rsid w:val="00537B8A"/>
    <w:rsid w:val="00537D22"/>
    <w:rsid w:val="00541563"/>
    <w:rsid w:val="0054176B"/>
    <w:rsid w:val="0054523C"/>
    <w:rsid w:val="00545A22"/>
    <w:rsid w:val="00551817"/>
    <w:rsid w:val="00553DB2"/>
    <w:rsid w:val="0055594D"/>
    <w:rsid w:val="00557791"/>
    <w:rsid w:val="00561AC5"/>
    <w:rsid w:val="00562075"/>
    <w:rsid w:val="005637EF"/>
    <w:rsid w:val="00566605"/>
    <w:rsid w:val="00567567"/>
    <w:rsid w:val="00570765"/>
    <w:rsid w:val="00571024"/>
    <w:rsid w:val="005724A6"/>
    <w:rsid w:val="005733F5"/>
    <w:rsid w:val="005752E5"/>
    <w:rsid w:val="005766ED"/>
    <w:rsid w:val="0058280E"/>
    <w:rsid w:val="00582F73"/>
    <w:rsid w:val="005834E9"/>
    <w:rsid w:val="0059091A"/>
    <w:rsid w:val="00594EB1"/>
    <w:rsid w:val="005A1074"/>
    <w:rsid w:val="005A25B4"/>
    <w:rsid w:val="005A56E8"/>
    <w:rsid w:val="005A5DF0"/>
    <w:rsid w:val="005A61FB"/>
    <w:rsid w:val="005B13A7"/>
    <w:rsid w:val="005B21D0"/>
    <w:rsid w:val="005B2636"/>
    <w:rsid w:val="005B4350"/>
    <w:rsid w:val="005B4568"/>
    <w:rsid w:val="005B54A5"/>
    <w:rsid w:val="005B7554"/>
    <w:rsid w:val="005C3FC5"/>
    <w:rsid w:val="005C3FE4"/>
    <w:rsid w:val="005C4ABD"/>
    <w:rsid w:val="005C5E34"/>
    <w:rsid w:val="005C5FE2"/>
    <w:rsid w:val="005C7F48"/>
    <w:rsid w:val="005D1E34"/>
    <w:rsid w:val="005D22B0"/>
    <w:rsid w:val="005D4FFC"/>
    <w:rsid w:val="005D67C3"/>
    <w:rsid w:val="005D7E08"/>
    <w:rsid w:val="005E2515"/>
    <w:rsid w:val="005E280E"/>
    <w:rsid w:val="005E3AFE"/>
    <w:rsid w:val="005E6A5A"/>
    <w:rsid w:val="005E737A"/>
    <w:rsid w:val="005E7ED8"/>
    <w:rsid w:val="005F144D"/>
    <w:rsid w:val="005F3759"/>
    <w:rsid w:val="005F3A20"/>
    <w:rsid w:val="005F4660"/>
    <w:rsid w:val="005F57B0"/>
    <w:rsid w:val="005F6762"/>
    <w:rsid w:val="005F7C50"/>
    <w:rsid w:val="005F7D3E"/>
    <w:rsid w:val="0060164D"/>
    <w:rsid w:val="006079AA"/>
    <w:rsid w:val="0061045E"/>
    <w:rsid w:val="00610EFC"/>
    <w:rsid w:val="00611BB4"/>
    <w:rsid w:val="0061227F"/>
    <w:rsid w:val="00613634"/>
    <w:rsid w:val="0061376D"/>
    <w:rsid w:val="00615011"/>
    <w:rsid w:val="00615CD7"/>
    <w:rsid w:val="006179F1"/>
    <w:rsid w:val="00622C4B"/>
    <w:rsid w:val="006252C0"/>
    <w:rsid w:val="00630665"/>
    <w:rsid w:val="00632E37"/>
    <w:rsid w:val="00633FE7"/>
    <w:rsid w:val="00644A68"/>
    <w:rsid w:val="00650840"/>
    <w:rsid w:val="00651613"/>
    <w:rsid w:val="00652B99"/>
    <w:rsid w:val="00655F4C"/>
    <w:rsid w:val="00656E24"/>
    <w:rsid w:val="00660078"/>
    <w:rsid w:val="00661D06"/>
    <w:rsid w:val="00662C03"/>
    <w:rsid w:val="00664277"/>
    <w:rsid w:val="00667DA0"/>
    <w:rsid w:val="00672702"/>
    <w:rsid w:val="00672DEE"/>
    <w:rsid w:val="006741B8"/>
    <w:rsid w:val="0067471C"/>
    <w:rsid w:val="0067636E"/>
    <w:rsid w:val="0068104E"/>
    <w:rsid w:val="006816AD"/>
    <w:rsid w:val="0068225E"/>
    <w:rsid w:val="00683782"/>
    <w:rsid w:val="00683ABC"/>
    <w:rsid w:val="00684375"/>
    <w:rsid w:val="006852E4"/>
    <w:rsid w:val="006854F4"/>
    <w:rsid w:val="00690F0C"/>
    <w:rsid w:val="00692C4A"/>
    <w:rsid w:val="00693D62"/>
    <w:rsid w:val="0069405C"/>
    <w:rsid w:val="00697BD5"/>
    <w:rsid w:val="006A03AE"/>
    <w:rsid w:val="006A1015"/>
    <w:rsid w:val="006A470A"/>
    <w:rsid w:val="006A6043"/>
    <w:rsid w:val="006A690E"/>
    <w:rsid w:val="006B0118"/>
    <w:rsid w:val="006B2651"/>
    <w:rsid w:val="006B44BA"/>
    <w:rsid w:val="006B5BAC"/>
    <w:rsid w:val="006B7D48"/>
    <w:rsid w:val="006C1D95"/>
    <w:rsid w:val="006C3E20"/>
    <w:rsid w:val="006C5F9D"/>
    <w:rsid w:val="006D0046"/>
    <w:rsid w:val="006D3D92"/>
    <w:rsid w:val="006D4B05"/>
    <w:rsid w:val="006D4D17"/>
    <w:rsid w:val="006D55CB"/>
    <w:rsid w:val="006D608D"/>
    <w:rsid w:val="006E0DD3"/>
    <w:rsid w:val="006E161C"/>
    <w:rsid w:val="006E24AB"/>
    <w:rsid w:val="006E5F68"/>
    <w:rsid w:val="006E6778"/>
    <w:rsid w:val="006F1A73"/>
    <w:rsid w:val="006F28EC"/>
    <w:rsid w:val="006F472A"/>
    <w:rsid w:val="006F6491"/>
    <w:rsid w:val="006F73A8"/>
    <w:rsid w:val="006F7BFB"/>
    <w:rsid w:val="006F7E07"/>
    <w:rsid w:val="00703929"/>
    <w:rsid w:val="00703EF4"/>
    <w:rsid w:val="00706F00"/>
    <w:rsid w:val="00710A58"/>
    <w:rsid w:val="00711255"/>
    <w:rsid w:val="00715ECE"/>
    <w:rsid w:val="00716E3F"/>
    <w:rsid w:val="00720F59"/>
    <w:rsid w:val="007213B3"/>
    <w:rsid w:val="00721AD4"/>
    <w:rsid w:val="00724E15"/>
    <w:rsid w:val="007268A2"/>
    <w:rsid w:val="0073140A"/>
    <w:rsid w:val="00734393"/>
    <w:rsid w:val="007350A3"/>
    <w:rsid w:val="00736309"/>
    <w:rsid w:val="007378B4"/>
    <w:rsid w:val="00742877"/>
    <w:rsid w:val="00743CDF"/>
    <w:rsid w:val="00746D14"/>
    <w:rsid w:val="007507D1"/>
    <w:rsid w:val="00752BCA"/>
    <w:rsid w:val="00755860"/>
    <w:rsid w:val="007568E2"/>
    <w:rsid w:val="00761B91"/>
    <w:rsid w:val="00763B2A"/>
    <w:rsid w:val="007660AD"/>
    <w:rsid w:val="00770082"/>
    <w:rsid w:val="0077398E"/>
    <w:rsid w:val="00776840"/>
    <w:rsid w:val="00777364"/>
    <w:rsid w:val="007774D1"/>
    <w:rsid w:val="00777C60"/>
    <w:rsid w:val="007810A5"/>
    <w:rsid w:val="00784752"/>
    <w:rsid w:val="00787671"/>
    <w:rsid w:val="00791E6D"/>
    <w:rsid w:val="0079326B"/>
    <w:rsid w:val="0079479A"/>
    <w:rsid w:val="007A02CC"/>
    <w:rsid w:val="007A3C2E"/>
    <w:rsid w:val="007A6741"/>
    <w:rsid w:val="007B0A5C"/>
    <w:rsid w:val="007B2D84"/>
    <w:rsid w:val="007B670F"/>
    <w:rsid w:val="007B7E2A"/>
    <w:rsid w:val="007C463E"/>
    <w:rsid w:val="007C4AB4"/>
    <w:rsid w:val="007C7D3D"/>
    <w:rsid w:val="007D40AB"/>
    <w:rsid w:val="007D44A8"/>
    <w:rsid w:val="007D5A35"/>
    <w:rsid w:val="007D6833"/>
    <w:rsid w:val="007D70BA"/>
    <w:rsid w:val="007E38D9"/>
    <w:rsid w:val="007E5A18"/>
    <w:rsid w:val="007E6111"/>
    <w:rsid w:val="00806982"/>
    <w:rsid w:val="008075E0"/>
    <w:rsid w:val="008079DF"/>
    <w:rsid w:val="008121D0"/>
    <w:rsid w:val="00814672"/>
    <w:rsid w:val="0081530D"/>
    <w:rsid w:val="00817A8E"/>
    <w:rsid w:val="00822510"/>
    <w:rsid w:val="008246D0"/>
    <w:rsid w:val="00825F03"/>
    <w:rsid w:val="0082697C"/>
    <w:rsid w:val="00827212"/>
    <w:rsid w:val="0083069D"/>
    <w:rsid w:val="00830E0F"/>
    <w:rsid w:val="00834039"/>
    <w:rsid w:val="00837220"/>
    <w:rsid w:val="00843FFD"/>
    <w:rsid w:val="008445A3"/>
    <w:rsid w:val="008452F7"/>
    <w:rsid w:val="008453F4"/>
    <w:rsid w:val="008469EC"/>
    <w:rsid w:val="00846BB2"/>
    <w:rsid w:val="0085243B"/>
    <w:rsid w:val="008543B7"/>
    <w:rsid w:val="00854AF7"/>
    <w:rsid w:val="00854EE0"/>
    <w:rsid w:val="0085627C"/>
    <w:rsid w:val="00856865"/>
    <w:rsid w:val="008568DD"/>
    <w:rsid w:val="0085708E"/>
    <w:rsid w:val="00861233"/>
    <w:rsid w:val="00862426"/>
    <w:rsid w:val="008628DC"/>
    <w:rsid w:val="00865F97"/>
    <w:rsid w:val="00866FA5"/>
    <w:rsid w:val="00867B23"/>
    <w:rsid w:val="00867E2D"/>
    <w:rsid w:val="008700AA"/>
    <w:rsid w:val="0087501A"/>
    <w:rsid w:val="00875759"/>
    <w:rsid w:val="00877648"/>
    <w:rsid w:val="0088000E"/>
    <w:rsid w:val="008818D7"/>
    <w:rsid w:val="008834DF"/>
    <w:rsid w:val="0088606A"/>
    <w:rsid w:val="008868F1"/>
    <w:rsid w:val="008A740D"/>
    <w:rsid w:val="008B1BA3"/>
    <w:rsid w:val="008B2356"/>
    <w:rsid w:val="008B4346"/>
    <w:rsid w:val="008B4D04"/>
    <w:rsid w:val="008B7EA8"/>
    <w:rsid w:val="008C2330"/>
    <w:rsid w:val="008C3FA1"/>
    <w:rsid w:val="008C5CE9"/>
    <w:rsid w:val="008C77C8"/>
    <w:rsid w:val="008D1823"/>
    <w:rsid w:val="008E16AD"/>
    <w:rsid w:val="008E317A"/>
    <w:rsid w:val="008E53B8"/>
    <w:rsid w:val="008E5AE9"/>
    <w:rsid w:val="008F143F"/>
    <w:rsid w:val="008F1A48"/>
    <w:rsid w:val="008F700F"/>
    <w:rsid w:val="008F7357"/>
    <w:rsid w:val="00901083"/>
    <w:rsid w:val="00901D0D"/>
    <w:rsid w:val="00902892"/>
    <w:rsid w:val="009030CD"/>
    <w:rsid w:val="0090360F"/>
    <w:rsid w:val="00903E54"/>
    <w:rsid w:val="00904954"/>
    <w:rsid w:val="00907932"/>
    <w:rsid w:val="009101EB"/>
    <w:rsid w:val="00910931"/>
    <w:rsid w:val="00912DE3"/>
    <w:rsid w:val="009153A1"/>
    <w:rsid w:val="009154A3"/>
    <w:rsid w:val="00915A94"/>
    <w:rsid w:val="009217FD"/>
    <w:rsid w:val="00923199"/>
    <w:rsid w:val="0092470A"/>
    <w:rsid w:val="00924D06"/>
    <w:rsid w:val="00927DC5"/>
    <w:rsid w:val="00932F30"/>
    <w:rsid w:val="009346BD"/>
    <w:rsid w:val="00942142"/>
    <w:rsid w:val="00942773"/>
    <w:rsid w:val="0094607E"/>
    <w:rsid w:val="009462ED"/>
    <w:rsid w:val="00951C09"/>
    <w:rsid w:val="00953259"/>
    <w:rsid w:val="00953587"/>
    <w:rsid w:val="00954C38"/>
    <w:rsid w:val="00955166"/>
    <w:rsid w:val="0096038B"/>
    <w:rsid w:val="009638AC"/>
    <w:rsid w:val="009641B8"/>
    <w:rsid w:val="0096737C"/>
    <w:rsid w:val="00970AE5"/>
    <w:rsid w:val="00970EC2"/>
    <w:rsid w:val="0097114D"/>
    <w:rsid w:val="00973572"/>
    <w:rsid w:val="00973C09"/>
    <w:rsid w:val="00974203"/>
    <w:rsid w:val="009800F7"/>
    <w:rsid w:val="00981F88"/>
    <w:rsid w:val="00982426"/>
    <w:rsid w:val="0098268A"/>
    <w:rsid w:val="00982DF9"/>
    <w:rsid w:val="00983366"/>
    <w:rsid w:val="00986AF1"/>
    <w:rsid w:val="00986B0F"/>
    <w:rsid w:val="00987E62"/>
    <w:rsid w:val="00987EC9"/>
    <w:rsid w:val="00992C0B"/>
    <w:rsid w:val="00994CA9"/>
    <w:rsid w:val="009963DC"/>
    <w:rsid w:val="0099721D"/>
    <w:rsid w:val="009A059D"/>
    <w:rsid w:val="009A1312"/>
    <w:rsid w:val="009A14C4"/>
    <w:rsid w:val="009A2065"/>
    <w:rsid w:val="009A799D"/>
    <w:rsid w:val="009B1956"/>
    <w:rsid w:val="009B24D4"/>
    <w:rsid w:val="009B365C"/>
    <w:rsid w:val="009B4A4F"/>
    <w:rsid w:val="009B6067"/>
    <w:rsid w:val="009C328D"/>
    <w:rsid w:val="009C393D"/>
    <w:rsid w:val="009C3BD2"/>
    <w:rsid w:val="009C43FF"/>
    <w:rsid w:val="009C4B17"/>
    <w:rsid w:val="009C56B0"/>
    <w:rsid w:val="009C71BE"/>
    <w:rsid w:val="009D0066"/>
    <w:rsid w:val="009D0DD8"/>
    <w:rsid w:val="009D15B5"/>
    <w:rsid w:val="009D2EAF"/>
    <w:rsid w:val="009D476E"/>
    <w:rsid w:val="009D4ABD"/>
    <w:rsid w:val="009D5736"/>
    <w:rsid w:val="009D7A1A"/>
    <w:rsid w:val="009E1597"/>
    <w:rsid w:val="009E1F1A"/>
    <w:rsid w:val="009E6389"/>
    <w:rsid w:val="009F06FC"/>
    <w:rsid w:val="009F1DB9"/>
    <w:rsid w:val="009F21CD"/>
    <w:rsid w:val="009F42EE"/>
    <w:rsid w:val="009F5742"/>
    <w:rsid w:val="009F581C"/>
    <w:rsid w:val="00A00282"/>
    <w:rsid w:val="00A0167D"/>
    <w:rsid w:val="00A0196B"/>
    <w:rsid w:val="00A02D4F"/>
    <w:rsid w:val="00A1190B"/>
    <w:rsid w:val="00A17CBA"/>
    <w:rsid w:val="00A210BC"/>
    <w:rsid w:val="00A23CB9"/>
    <w:rsid w:val="00A24927"/>
    <w:rsid w:val="00A2547F"/>
    <w:rsid w:val="00A27658"/>
    <w:rsid w:val="00A346CB"/>
    <w:rsid w:val="00A34904"/>
    <w:rsid w:val="00A364FC"/>
    <w:rsid w:val="00A41AEB"/>
    <w:rsid w:val="00A42AC5"/>
    <w:rsid w:val="00A46417"/>
    <w:rsid w:val="00A4698C"/>
    <w:rsid w:val="00A512F5"/>
    <w:rsid w:val="00A538A7"/>
    <w:rsid w:val="00A5401A"/>
    <w:rsid w:val="00A5412E"/>
    <w:rsid w:val="00A56D18"/>
    <w:rsid w:val="00A60644"/>
    <w:rsid w:val="00A63340"/>
    <w:rsid w:val="00A63E4B"/>
    <w:rsid w:val="00A652D9"/>
    <w:rsid w:val="00A66E6A"/>
    <w:rsid w:val="00A672B3"/>
    <w:rsid w:val="00A73AFA"/>
    <w:rsid w:val="00A76B5F"/>
    <w:rsid w:val="00A83488"/>
    <w:rsid w:val="00A85EDA"/>
    <w:rsid w:val="00A90302"/>
    <w:rsid w:val="00A93633"/>
    <w:rsid w:val="00A948C9"/>
    <w:rsid w:val="00A96710"/>
    <w:rsid w:val="00AA0AF8"/>
    <w:rsid w:val="00AA2006"/>
    <w:rsid w:val="00AA23A7"/>
    <w:rsid w:val="00AA60C0"/>
    <w:rsid w:val="00AA6656"/>
    <w:rsid w:val="00AA669A"/>
    <w:rsid w:val="00AB0993"/>
    <w:rsid w:val="00AB0B7E"/>
    <w:rsid w:val="00AB5290"/>
    <w:rsid w:val="00AB7E74"/>
    <w:rsid w:val="00AC1210"/>
    <w:rsid w:val="00AC1AC0"/>
    <w:rsid w:val="00AC2F44"/>
    <w:rsid w:val="00AC7FC6"/>
    <w:rsid w:val="00AD0B01"/>
    <w:rsid w:val="00AE3C8D"/>
    <w:rsid w:val="00AE58CA"/>
    <w:rsid w:val="00AE746F"/>
    <w:rsid w:val="00AF0C5D"/>
    <w:rsid w:val="00AF0F46"/>
    <w:rsid w:val="00AF169C"/>
    <w:rsid w:val="00AF5580"/>
    <w:rsid w:val="00AF674D"/>
    <w:rsid w:val="00B004B3"/>
    <w:rsid w:val="00B00630"/>
    <w:rsid w:val="00B00C7D"/>
    <w:rsid w:val="00B01301"/>
    <w:rsid w:val="00B02E14"/>
    <w:rsid w:val="00B06BD8"/>
    <w:rsid w:val="00B109A0"/>
    <w:rsid w:val="00B10A58"/>
    <w:rsid w:val="00B11081"/>
    <w:rsid w:val="00B144EB"/>
    <w:rsid w:val="00B15113"/>
    <w:rsid w:val="00B16175"/>
    <w:rsid w:val="00B168D8"/>
    <w:rsid w:val="00B168E6"/>
    <w:rsid w:val="00B1782E"/>
    <w:rsid w:val="00B17E0F"/>
    <w:rsid w:val="00B24565"/>
    <w:rsid w:val="00B254FB"/>
    <w:rsid w:val="00B300C9"/>
    <w:rsid w:val="00B3364F"/>
    <w:rsid w:val="00B35528"/>
    <w:rsid w:val="00B40C84"/>
    <w:rsid w:val="00B4152B"/>
    <w:rsid w:val="00B4187D"/>
    <w:rsid w:val="00B45C51"/>
    <w:rsid w:val="00B47A39"/>
    <w:rsid w:val="00B50ACC"/>
    <w:rsid w:val="00B51197"/>
    <w:rsid w:val="00B51B9F"/>
    <w:rsid w:val="00B52A3C"/>
    <w:rsid w:val="00B52A7F"/>
    <w:rsid w:val="00B5308E"/>
    <w:rsid w:val="00B53914"/>
    <w:rsid w:val="00B54412"/>
    <w:rsid w:val="00B553A4"/>
    <w:rsid w:val="00B62D9D"/>
    <w:rsid w:val="00B71ECF"/>
    <w:rsid w:val="00B761E6"/>
    <w:rsid w:val="00B77B0C"/>
    <w:rsid w:val="00B8238A"/>
    <w:rsid w:val="00B82D61"/>
    <w:rsid w:val="00B83095"/>
    <w:rsid w:val="00B83C26"/>
    <w:rsid w:val="00B83C2D"/>
    <w:rsid w:val="00B85A92"/>
    <w:rsid w:val="00B87DDA"/>
    <w:rsid w:val="00B9051A"/>
    <w:rsid w:val="00B97A92"/>
    <w:rsid w:val="00BA04E5"/>
    <w:rsid w:val="00BB6EDC"/>
    <w:rsid w:val="00BB7633"/>
    <w:rsid w:val="00BC04F5"/>
    <w:rsid w:val="00BC0D94"/>
    <w:rsid w:val="00BC2DA7"/>
    <w:rsid w:val="00BC373D"/>
    <w:rsid w:val="00BC45EB"/>
    <w:rsid w:val="00BC58E1"/>
    <w:rsid w:val="00BC6771"/>
    <w:rsid w:val="00BD5C1E"/>
    <w:rsid w:val="00BE0971"/>
    <w:rsid w:val="00BE0B51"/>
    <w:rsid w:val="00BE1653"/>
    <w:rsid w:val="00BE1795"/>
    <w:rsid w:val="00BE35E4"/>
    <w:rsid w:val="00BE38DB"/>
    <w:rsid w:val="00BE6C4D"/>
    <w:rsid w:val="00BF2B30"/>
    <w:rsid w:val="00BF3F6E"/>
    <w:rsid w:val="00BF4C88"/>
    <w:rsid w:val="00BF5611"/>
    <w:rsid w:val="00BF62DA"/>
    <w:rsid w:val="00C03770"/>
    <w:rsid w:val="00C1012B"/>
    <w:rsid w:val="00C101CE"/>
    <w:rsid w:val="00C11540"/>
    <w:rsid w:val="00C16D26"/>
    <w:rsid w:val="00C20612"/>
    <w:rsid w:val="00C226C3"/>
    <w:rsid w:val="00C25FB3"/>
    <w:rsid w:val="00C26CEE"/>
    <w:rsid w:val="00C3112B"/>
    <w:rsid w:val="00C31E51"/>
    <w:rsid w:val="00C33CB8"/>
    <w:rsid w:val="00C33F81"/>
    <w:rsid w:val="00C36124"/>
    <w:rsid w:val="00C36AC6"/>
    <w:rsid w:val="00C42118"/>
    <w:rsid w:val="00C430DC"/>
    <w:rsid w:val="00C43A8B"/>
    <w:rsid w:val="00C43E36"/>
    <w:rsid w:val="00C457F4"/>
    <w:rsid w:val="00C504BB"/>
    <w:rsid w:val="00C512C0"/>
    <w:rsid w:val="00C55A56"/>
    <w:rsid w:val="00C55ADE"/>
    <w:rsid w:val="00C6055D"/>
    <w:rsid w:val="00C70A8D"/>
    <w:rsid w:val="00C72E1B"/>
    <w:rsid w:val="00C74B6F"/>
    <w:rsid w:val="00C81FAD"/>
    <w:rsid w:val="00C82103"/>
    <w:rsid w:val="00C82BC6"/>
    <w:rsid w:val="00C8419F"/>
    <w:rsid w:val="00C85460"/>
    <w:rsid w:val="00C8685E"/>
    <w:rsid w:val="00C872EA"/>
    <w:rsid w:val="00C915D8"/>
    <w:rsid w:val="00C954CE"/>
    <w:rsid w:val="00C95B55"/>
    <w:rsid w:val="00CA1890"/>
    <w:rsid w:val="00CA25E9"/>
    <w:rsid w:val="00CA417B"/>
    <w:rsid w:val="00CA4D59"/>
    <w:rsid w:val="00CA6797"/>
    <w:rsid w:val="00CB20B9"/>
    <w:rsid w:val="00CB3F6B"/>
    <w:rsid w:val="00CB6ACE"/>
    <w:rsid w:val="00CB7513"/>
    <w:rsid w:val="00CB7E32"/>
    <w:rsid w:val="00CC025A"/>
    <w:rsid w:val="00CC2856"/>
    <w:rsid w:val="00CC2995"/>
    <w:rsid w:val="00CC3FFF"/>
    <w:rsid w:val="00CC43C1"/>
    <w:rsid w:val="00CC595A"/>
    <w:rsid w:val="00CC79BA"/>
    <w:rsid w:val="00CC7D20"/>
    <w:rsid w:val="00CD0BB4"/>
    <w:rsid w:val="00CD0DBD"/>
    <w:rsid w:val="00CD1F6D"/>
    <w:rsid w:val="00CD209E"/>
    <w:rsid w:val="00CD39A1"/>
    <w:rsid w:val="00CD5009"/>
    <w:rsid w:val="00CD67E3"/>
    <w:rsid w:val="00CE01F9"/>
    <w:rsid w:val="00CE1B88"/>
    <w:rsid w:val="00CE24EE"/>
    <w:rsid w:val="00CE5230"/>
    <w:rsid w:val="00CE6469"/>
    <w:rsid w:val="00CE7219"/>
    <w:rsid w:val="00CF00EA"/>
    <w:rsid w:val="00CF1F8D"/>
    <w:rsid w:val="00CF4221"/>
    <w:rsid w:val="00CF4E85"/>
    <w:rsid w:val="00CF6BC8"/>
    <w:rsid w:val="00CF7232"/>
    <w:rsid w:val="00CF7D99"/>
    <w:rsid w:val="00D0108C"/>
    <w:rsid w:val="00D04168"/>
    <w:rsid w:val="00D07ADA"/>
    <w:rsid w:val="00D12731"/>
    <w:rsid w:val="00D13084"/>
    <w:rsid w:val="00D139A6"/>
    <w:rsid w:val="00D14624"/>
    <w:rsid w:val="00D154D9"/>
    <w:rsid w:val="00D176B3"/>
    <w:rsid w:val="00D23FDF"/>
    <w:rsid w:val="00D242B8"/>
    <w:rsid w:val="00D24B80"/>
    <w:rsid w:val="00D2576B"/>
    <w:rsid w:val="00D31B7E"/>
    <w:rsid w:val="00D42735"/>
    <w:rsid w:val="00D47A22"/>
    <w:rsid w:val="00D50129"/>
    <w:rsid w:val="00D5065D"/>
    <w:rsid w:val="00D510C7"/>
    <w:rsid w:val="00D61F70"/>
    <w:rsid w:val="00D62DE8"/>
    <w:rsid w:val="00D63383"/>
    <w:rsid w:val="00D6349B"/>
    <w:rsid w:val="00D63B14"/>
    <w:rsid w:val="00D645DE"/>
    <w:rsid w:val="00D662E1"/>
    <w:rsid w:val="00D705D4"/>
    <w:rsid w:val="00D723EE"/>
    <w:rsid w:val="00D727C7"/>
    <w:rsid w:val="00D73231"/>
    <w:rsid w:val="00D74289"/>
    <w:rsid w:val="00D74C16"/>
    <w:rsid w:val="00D751B4"/>
    <w:rsid w:val="00D756C0"/>
    <w:rsid w:val="00D7678D"/>
    <w:rsid w:val="00D7702E"/>
    <w:rsid w:val="00D778AB"/>
    <w:rsid w:val="00D80079"/>
    <w:rsid w:val="00D83380"/>
    <w:rsid w:val="00D83B0E"/>
    <w:rsid w:val="00D8419A"/>
    <w:rsid w:val="00D85D92"/>
    <w:rsid w:val="00D90B51"/>
    <w:rsid w:val="00D90C12"/>
    <w:rsid w:val="00D90CE5"/>
    <w:rsid w:val="00D91F71"/>
    <w:rsid w:val="00D93AD3"/>
    <w:rsid w:val="00D9431E"/>
    <w:rsid w:val="00DA0407"/>
    <w:rsid w:val="00DA1DF5"/>
    <w:rsid w:val="00DA4B34"/>
    <w:rsid w:val="00DA54E0"/>
    <w:rsid w:val="00DA6EDD"/>
    <w:rsid w:val="00DB1128"/>
    <w:rsid w:val="00DB23E9"/>
    <w:rsid w:val="00DB48DC"/>
    <w:rsid w:val="00DB4EE5"/>
    <w:rsid w:val="00DB7BEC"/>
    <w:rsid w:val="00DC06A6"/>
    <w:rsid w:val="00DC1133"/>
    <w:rsid w:val="00DC1FD3"/>
    <w:rsid w:val="00DC5B3C"/>
    <w:rsid w:val="00DD018A"/>
    <w:rsid w:val="00DD0B22"/>
    <w:rsid w:val="00DD2198"/>
    <w:rsid w:val="00DD2E26"/>
    <w:rsid w:val="00DD4222"/>
    <w:rsid w:val="00DD42D1"/>
    <w:rsid w:val="00DD79D0"/>
    <w:rsid w:val="00DE416C"/>
    <w:rsid w:val="00DE7E6B"/>
    <w:rsid w:val="00DF022F"/>
    <w:rsid w:val="00DF0819"/>
    <w:rsid w:val="00DF2AF8"/>
    <w:rsid w:val="00DF40C5"/>
    <w:rsid w:val="00E01271"/>
    <w:rsid w:val="00E03F87"/>
    <w:rsid w:val="00E1051F"/>
    <w:rsid w:val="00E10AF1"/>
    <w:rsid w:val="00E10EBA"/>
    <w:rsid w:val="00E1274D"/>
    <w:rsid w:val="00E17F55"/>
    <w:rsid w:val="00E214DC"/>
    <w:rsid w:val="00E21C50"/>
    <w:rsid w:val="00E24A98"/>
    <w:rsid w:val="00E2669B"/>
    <w:rsid w:val="00E30743"/>
    <w:rsid w:val="00E30F75"/>
    <w:rsid w:val="00E31622"/>
    <w:rsid w:val="00E327BE"/>
    <w:rsid w:val="00E33B6A"/>
    <w:rsid w:val="00E348BC"/>
    <w:rsid w:val="00E37F44"/>
    <w:rsid w:val="00E40565"/>
    <w:rsid w:val="00E43E81"/>
    <w:rsid w:val="00E45EA9"/>
    <w:rsid w:val="00E52424"/>
    <w:rsid w:val="00E53150"/>
    <w:rsid w:val="00E53F28"/>
    <w:rsid w:val="00E54804"/>
    <w:rsid w:val="00E60451"/>
    <w:rsid w:val="00E62710"/>
    <w:rsid w:val="00E656F7"/>
    <w:rsid w:val="00E74BEA"/>
    <w:rsid w:val="00E752DB"/>
    <w:rsid w:val="00E75437"/>
    <w:rsid w:val="00E75A89"/>
    <w:rsid w:val="00E76C8F"/>
    <w:rsid w:val="00E81263"/>
    <w:rsid w:val="00E83E2E"/>
    <w:rsid w:val="00E85073"/>
    <w:rsid w:val="00E8758E"/>
    <w:rsid w:val="00E9063E"/>
    <w:rsid w:val="00E9101D"/>
    <w:rsid w:val="00E941B1"/>
    <w:rsid w:val="00E94AD2"/>
    <w:rsid w:val="00EA3B83"/>
    <w:rsid w:val="00EA42EF"/>
    <w:rsid w:val="00EA4679"/>
    <w:rsid w:val="00EA4920"/>
    <w:rsid w:val="00EB3272"/>
    <w:rsid w:val="00EB4E4D"/>
    <w:rsid w:val="00EB6422"/>
    <w:rsid w:val="00EB78F7"/>
    <w:rsid w:val="00EC2E83"/>
    <w:rsid w:val="00EC3F76"/>
    <w:rsid w:val="00ED4624"/>
    <w:rsid w:val="00ED5CF6"/>
    <w:rsid w:val="00ED756F"/>
    <w:rsid w:val="00EE0908"/>
    <w:rsid w:val="00EE4443"/>
    <w:rsid w:val="00EE58C8"/>
    <w:rsid w:val="00EE766C"/>
    <w:rsid w:val="00EF1B54"/>
    <w:rsid w:val="00EF1C1A"/>
    <w:rsid w:val="00EF2235"/>
    <w:rsid w:val="00EF2F8C"/>
    <w:rsid w:val="00EF7149"/>
    <w:rsid w:val="00EF7A44"/>
    <w:rsid w:val="00F01FBB"/>
    <w:rsid w:val="00F032F2"/>
    <w:rsid w:val="00F0448E"/>
    <w:rsid w:val="00F10058"/>
    <w:rsid w:val="00F11C8C"/>
    <w:rsid w:val="00F12041"/>
    <w:rsid w:val="00F166E6"/>
    <w:rsid w:val="00F16DC6"/>
    <w:rsid w:val="00F16DE0"/>
    <w:rsid w:val="00F175D2"/>
    <w:rsid w:val="00F248E5"/>
    <w:rsid w:val="00F24D8B"/>
    <w:rsid w:val="00F24FE2"/>
    <w:rsid w:val="00F26199"/>
    <w:rsid w:val="00F27A4B"/>
    <w:rsid w:val="00F31837"/>
    <w:rsid w:val="00F33427"/>
    <w:rsid w:val="00F337DD"/>
    <w:rsid w:val="00F33D99"/>
    <w:rsid w:val="00F35D11"/>
    <w:rsid w:val="00F4229B"/>
    <w:rsid w:val="00F45018"/>
    <w:rsid w:val="00F45F63"/>
    <w:rsid w:val="00F46EA6"/>
    <w:rsid w:val="00F525ED"/>
    <w:rsid w:val="00F52718"/>
    <w:rsid w:val="00F52B39"/>
    <w:rsid w:val="00F53C3A"/>
    <w:rsid w:val="00F54108"/>
    <w:rsid w:val="00F61225"/>
    <w:rsid w:val="00F61BDD"/>
    <w:rsid w:val="00F633C3"/>
    <w:rsid w:val="00F635FB"/>
    <w:rsid w:val="00F66C07"/>
    <w:rsid w:val="00F74B68"/>
    <w:rsid w:val="00F8496B"/>
    <w:rsid w:val="00F9181C"/>
    <w:rsid w:val="00F92524"/>
    <w:rsid w:val="00F96D45"/>
    <w:rsid w:val="00FA023B"/>
    <w:rsid w:val="00FA0B88"/>
    <w:rsid w:val="00FA14F6"/>
    <w:rsid w:val="00FA3AF7"/>
    <w:rsid w:val="00FA5DE4"/>
    <w:rsid w:val="00FA6F99"/>
    <w:rsid w:val="00FA7AA1"/>
    <w:rsid w:val="00FB1C3A"/>
    <w:rsid w:val="00FB4A4B"/>
    <w:rsid w:val="00FB7CB2"/>
    <w:rsid w:val="00FC3414"/>
    <w:rsid w:val="00FC5937"/>
    <w:rsid w:val="00FC718C"/>
    <w:rsid w:val="00FC75B3"/>
    <w:rsid w:val="00FD209F"/>
    <w:rsid w:val="00FD2674"/>
    <w:rsid w:val="00FD39AD"/>
    <w:rsid w:val="00FD5D77"/>
    <w:rsid w:val="00FE27C4"/>
    <w:rsid w:val="00FE3265"/>
    <w:rsid w:val="00FE443C"/>
    <w:rsid w:val="00FE45E6"/>
    <w:rsid w:val="00FE53E5"/>
    <w:rsid w:val="00FE7500"/>
    <w:rsid w:val="00FF13A3"/>
    <w:rsid w:val="00FF2BC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8F3562"/>
  <w15:docId w15:val="{54340200-42F5-4D6D-83BB-E5764429B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64F24"/>
    <w:rPr>
      <w:sz w:val="24"/>
      <w:szCs w:val="24"/>
    </w:rPr>
  </w:style>
  <w:style w:type="paragraph" w:styleId="berschrift1">
    <w:name w:val="heading 1"/>
    <w:basedOn w:val="Standard"/>
    <w:next w:val="Standard"/>
    <w:link w:val="berschrift1Zchn"/>
    <w:qFormat/>
    <w:rsid w:val="000F4F71"/>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C82CAE"/>
    <w:rPr>
      <w:color w:val="0000FF"/>
      <w:u w:val="single"/>
    </w:rPr>
  </w:style>
  <w:style w:type="paragraph" w:styleId="StandardWeb">
    <w:name w:val="Normal (Web)"/>
    <w:basedOn w:val="Standard"/>
    <w:rsid w:val="00A670D9"/>
  </w:style>
  <w:style w:type="paragraph" w:styleId="Kopfzeile">
    <w:name w:val="header"/>
    <w:basedOn w:val="Standard"/>
    <w:rsid w:val="004D159C"/>
    <w:pPr>
      <w:tabs>
        <w:tab w:val="center" w:pos="4536"/>
        <w:tab w:val="right" w:pos="9072"/>
      </w:tabs>
    </w:pPr>
  </w:style>
  <w:style w:type="paragraph" w:styleId="Fuzeile">
    <w:name w:val="footer"/>
    <w:basedOn w:val="Standard"/>
    <w:rsid w:val="004D159C"/>
    <w:pPr>
      <w:tabs>
        <w:tab w:val="center" w:pos="4536"/>
        <w:tab w:val="right" w:pos="9072"/>
      </w:tabs>
    </w:pPr>
  </w:style>
  <w:style w:type="paragraph" w:styleId="Sprechblasentext">
    <w:name w:val="Balloon Text"/>
    <w:basedOn w:val="Standard"/>
    <w:link w:val="SprechblasentextZchn"/>
    <w:uiPriority w:val="99"/>
    <w:semiHidden/>
    <w:unhideWhenUsed/>
    <w:rsid w:val="000B136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366"/>
    <w:rPr>
      <w:rFonts w:ascii="Tahoma" w:hAnsi="Tahoma" w:cs="Tahoma"/>
      <w:sz w:val="16"/>
      <w:szCs w:val="16"/>
    </w:rPr>
  </w:style>
  <w:style w:type="character" w:customStyle="1" w:styleId="berschrift1Zchn">
    <w:name w:val="Überschrift 1 Zchn"/>
    <w:basedOn w:val="Absatz-Standardschriftart"/>
    <w:link w:val="berschrift1"/>
    <w:rsid w:val="000F4F71"/>
    <w:rPr>
      <w:b/>
      <w:bCs/>
      <w:sz w:val="24"/>
      <w:szCs w:val="24"/>
    </w:rPr>
  </w:style>
  <w:style w:type="paragraph" w:styleId="NurText">
    <w:name w:val="Plain Text"/>
    <w:basedOn w:val="Standard"/>
    <w:link w:val="NurTextZchn"/>
    <w:unhideWhenUsed/>
    <w:rsid w:val="000F4F71"/>
    <w:rPr>
      <w:rFonts w:ascii="Courier New" w:hAnsi="Courier New"/>
      <w:sz w:val="20"/>
      <w:szCs w:val="20"/>
    </w:rPr>
  </w:style>
  <w:style w:type="character" w:customStyle="1" w:styleId="NurTextZchn">
    <w:name w:val="Nur Text Zchn"/>
    <w:basedOn w:val="Absatz-Standardschriftart"/>
    <w:link w:val="NurText"/>
    <w:rsid w:val="000F4F71"/>
    <w:rPr>
      <w:rFonts w:ascii="Courier New" w:hAnsi="Courier New"/>
    </w:rPr>
  </w:style>
  <w:style w:type="paragraph" w:styleId="berarbeitung">
    <w:name w:val="Revision"/>
    <w:hidden/>
    <w:rsid w:val="004771CF"/>
    <w:rPr>
      <w:sz w:val="24"/>
      <w:szCs w:val="24"/>
    </w:rPr>
  </w:style>
  <w:style w:type="paragraph" w:styleId="Listenabsatz">
    <w:name w:val="List Paragraph"/>
    <w:basedOn w:val="Standard"/>
    <w:uiPriority w:val="34"/>
    <w:qFormat/>
    <w:rsid w:val="002F4DB3"/>
    <w:pPr>
      <w:ind w:left="720"/>
      <w:contextualSpacing/>
    </w:pPr>
  </w:style>
  <w:style w:type="character" w:customStyle="1" w:styleId="apple-style-span">
    <w:name w:val="apple-style-span"/>
    <w:basedOn w:val="Absatz-Standardschriftart"/>
    <w:rsid w:val="005D4FFC"/>
    <w:rPr>
      <w:rFonts w:ascii="Times New Roman" w:hAnsi="Times New Roman"/>
    </w:rPr>
  </w:style>
  <w:style w:type="character" w:styleId="Kommentarzeichen">
    <w:name w:val="annotation reference"/>
    <w:basedOn w:val="Absatz-Standardschriftart"/>
    <w:rsid w:val="00347CE3"/>
    <w:rPr>
      <w:sz w:val="18"/>
      <w:szCs w:val="18"/>
    </w:rPr>
  </w:style>
  <w:style w:type="paragraph" w:styleId="Kommentartext">
    <w:name w:val="annotation text"/>
    <w:basedOn w:val="Standard"/>
    <w:link w:val="KommentartextZchn"/>
    <w:rsid w:val="00347CE3"/>
  </w:style>
  <w:style w:type="character" w:customStyle="1" w:styleId="KommentartextZchn">
    <w:name w:val="Kommentartext Zchn"/>
    <w:basedOn w:val="Absatz-Standardschriftart"/>
    <w:link w:val="Kommentartext"/>
    <w:rsid w:val="00347CE3"/>
    <w:rPr>
      <w:sz w:val="24"/>
      <w:szCs w:val="24"/>
    </w:rPr>
  </w:style>
  <w:style w:type="paragraph" w:styleId="Kommentarthema">
    <w:name w:val="annotation subject"/>
    <w:basedOn w:val="Kommentartext"/>
    <w:next w:val="Kommentartext"/>
    <w:link w:val="KommentarthemaZchn"/>
    <w:rsid w:val="00347CE3"/>
    <w:rPr>
      <w:b/>
      <w:bCs/>
      <w:sz w:val="20"/>
      <w:szCs w:val="20"/>
    </w:rPr>
  </w:style>
  <w:style w:type="character" w:customStyle="1" w:styleId="KommentarthemaZchn">
    <w:name w:val="Kommentarthema Zchn"/>
    <w:basedOn w:val="KommentartextZchn"/>
    <w:link w:val="Kommentarthema"/>
    <w:rsid w:val="00347CE3"/>
    <w:rPr>
      <w:b/>
      <w:bCs/>
      <w:sz w:val="24"/>
      <w:szCs w:val="24"/>
    </w:rPr>
  </w:style>
  <w:style w:type="paragraph" w:customStyle="1" w:styleId="intronewsheadingh3intro">
    <w:name w:val="intro_news_heading_h3 (intro)"/>
    <w:basedOn w:val="Standard"/>
    <w:uiPriority w:val="99"/>
    <w:rsid w:val="005C5FE2"/>
    <w:pPr>
      <w:widowControl w:val="0"/>
      <w:autoSpaceDE w:val="0"/>
      <w:autoSpaceDN w:val="0"/>
      <w:adjustRightInd w:val="0"/>
      <w:spacing w:before="14" w:after="14" w:line="240" w:lineRule="atLeast"/>
      <w:textAlignment w:val="center"/>
    </w:pPr>
    <w:rPr>
      <w:rFonts w:ascii="NettoOffcPro-Bold" w:hAnsi="NettoOffcPro-Bold" w:cs="NettoOffcPro-Bold"/>
      <w:b/>
      <w:bCs/>
      <w:color w:val="4886C6"/>
      <w:sz w:val="20"/>
      <w:szCs w:val="20"/>
    </w:rPr>
  </w:style>
  <w:style w:type="table" w:styleId="Tabellenraster">
    <w:name w:val="Table Grid"/>
    <w:basedOn w:val="NormaleTabelle"/>
    <w:rsid w:val="00D90B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590829">
      <w:bodyDiv w:val="1"/>
      <w:marLeft w:val="0"/>
      <w:marRight w:val="0"/>
      <w:marTop w:val="0"/>
      <w:marBottom w:val="0"/>
      <w:divBdr>
        <w:top w:val="none" w:sz="0" w:space="0" w:color="auto"/>
        <w:left w:val="none" w:sz="0" w:space="0" w:color="auto"/>
        <w:bottom w:val="none" w:sz="0" w:space="0" w:color="auto"/>
        <w:right w:val="none" w:sz="0" w:space="0" w:color="auto"/>
      </w:divBdr>
      <w:divsChild>
        <w:div w:id="416754188">
          <w:marLeft w:val="0"/>
          <w:marRight w:val="0"/>
          <w:marTop w:val="0"/>
          <w:marBottom w:val="0"/>
          <w:divBdr>
            <w:top w:val="none" w:sz="0" w:space="0" w:color="auto"/>
            <w:left w:val="none" w:sz="0" w:space="0" w:color="auto"/>
            <w:bottom w:val="none" w:sz="0" w:space="0" w:color="auto"/>
            <w:right w:val="none" w:sz="0" w:space="0" w:color="auto"/>
          </w:divBdr>
          <w:divsChild>
            <w:div w:id="1004556271">
              <w:marLeft w:val="0"/>
              <w:marRight w:val="0"/>
              <w:marTop w:val="0"/>
              <w:marBottom w:val="0"/>
              <w:divBdr>
                <w:top w:val="none" w:sz="0" w:space="0" w:color="auto"/>
                <w:left w:val="none" w:sz="0" w:space="0" w:color="auto"/>
                <w:bottom w:val="none" w:sz="0" w:space="0" w:color="auto"/>
                <w:right w:val="none" w:sz="0" w:space="0" w:color="auto"/>
              </w:divBdr>
              <w:divsChild>
                <w:div w:id="1742950394">
                  <w:marLeft w:val="0"/>
                  <w:marRight w:val="0"/>
                  <w:marTop w:val="0"/>
                  <w:marBottom w:val="0"/>
                  <w:divBdr>
                    <w:top w:val="none" w:sz="0" w:space="0" w:color="auto"/>
                    <w:left w:val="none" w:sz="0" w:space="0" w:color="auto"/>
                    <w:bottom w:val="none" w:sz="0" w:space="0" w:color="auto"/>
                    <w:right w:val="none" w:sz="0" w:space="0" w:color="auto"/>
                  </w:divBdr>
                  <w:divsChild>
                    <w:div w:id="888222202">
                      <w:marLeft w:val="0"/>
                      <w:marRight w:val="0"/>
                      <w:marTop w:val="0"/>
                      <w:marBottom w:val="0"/>
                      <w:divBdr>
                        <w:top w:val="none" w:sz="0" w:space="0" w:color="auto"/>
                        <w:left w:val="none" w:sz="0" w:space="0" w:color="auto"/>
                        <w:bottom w:val="none" w:sz="0" w:space="0" w:color="auto"/>
                        <w:right w:val="none" w:sz="0" w:space="0" w:color="auto"/>
                      </w:divBdr>
                      <w:divsChild>
                        <w:div w:id="927542830">
                          <w:marLeft w:val="0"/>
                          <w:marRight w:val="0"/>
                          <w:marTop w:val="0"/>
                          <w:marBottom w:val="0"/>
                          <w:divBdr>
                            <w:top w:val="none" w:sz="0" w:space="0" w:color="auto"/>
                            <w:left w:val="none" w:sz="0" w:space="0" w:color="auto"/>
                            <w:bottom w:val="none" w:sz="0" w:space="0" w:color="auto"/>
                            <w:right w:val="none" w:sz="0" w:space="0" w:color="auto"/>
                          </w:divBdr>
                          <w:divsChild>
                            <w:div w:id="1623028725">
                              <w:marLeft w:val="0"/>
                              <w:marRight w:val="0"/>
                              <w:marTop w:val="0"/>
                              <w:marBottom w:val="0"/>
                              <w:divBdr>
                                <w:top w:val="none" w:sz="0" w:space="0" w:color="auto"/>
                                <w:left w:val="none" w:sz="0" w:space="0" w:color="auto"/>
                                <w:bottom w:val="none" w:sz="0" w:space="0" w:color="auto"/>
                                <w:right w:val="none" w:sz="0" w:space="0" w:color="auto"/>
                              </w:divBdr>
                              <w:divsChild>
                                <w:div w:id="1577665139">
                                  <w:marLeft w:val="0"/>
                                  <w:marRight w:val="0"/>
                                  <w:marTop w:val="0"/>
                                  <w:marBottom w:val="0"/>
                                  <w:divBdr>
                                    <w:top w:val="none" w:sz="0" w:space="0" w:color="auto"/>
                                    <w:left w:val="none" w:sz="0" w:space="0" w:color="auto"/>
                                    <w:bottom w:val="none" w:sz="0" w:space="0" w:color="auto"/>
                                    <w:right w:val="none" w:sz="0" w:space="0" w:color="auto"/>
                                  </w:divBdr>
                                  <w:divsChild>
                                    <w:div w:id="1520705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C38357-DCBC-498A-A74D-F0CB0439BE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514</Words>
  <Characters>3005</Characters>
  <Application>Microsoft Office Word</Application>
  <DocSecurity>0</DocSecurity>
  <Lines>81</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PlanoCentro – der flachste Präsenzmelder</vt:lpstr>
      <vt:lpstr>PlanoCentro – der flachste Präsenzmelder</vt:lpstr>
    </vt:vector>
  </TitlesOfParts>
  <Company>Theben AG</Company>
  <LinksUpToDate>false</LinksUpToDate>
  <CharactersWithSpaces>3501</CharactersWithSpaces>
  <SharedDoc>false</SharedDoc>
  <HLinks>
    <vt:vector size="12" baseType="variant">
      <vt:variant>
        <vt:i4>1310800</vt:i4>
      </vt:variant>
      <vt:variant>
        <vt:i4>6</vt:i4>
      </vt:variant>
      <vt:variant>
        <vt:i4>0</vt:i4>
      </vt:variant>
      <vt:variant>
        <vt:i4>5</vt:i4>
      </vt:variant>
      <vt:variant>
        <vt:lpwstr>http://www.theben.de/</vt:lpwstr>
      </vt:variant>
      <vt:variant>
        <vt:lpwstr/>
      </vt:variant>
      <vt:variant>
        <vt:i4>5308518</vt:i4>
      </vt:variant>
      <vt:variant>
        <vt:i4>3</vt:i4>
      </vt:variant>
      <vt:variant>
        <vt:i4>0</vt:i4>
      </vt:variant>
      <vt:variant>
        <vt:i4>5</vt:i4>
      </vt:variant>
      <vt:variant>
        <vt:lpwstr>mailto:sv@theben.de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PlanoCentro – der flachste Präsenzmelder</dc:title>
  <dc:subject/>
  <dc:creator>ti</dc:creator>
  <cp:keywords/>
  <dc:description/>
  <cp:lastModifiedBy>van der Velden Stephanie sv - Theben AG</cp:lastModifiedBy>
  <cp:revision>4</cp:revision>
  <cp:lastPrinted>2019-05-21T07:45:00Z</cp:lastPrinted>
  <dcterms:created xsi:type="dcterms:W3CDTF">2021-12-22T09:55:00Z</dcterms:created>
  <dcterms:modified xsi:type="dcterms:W3CDTF">2022-01-17T15:58:00Z</dcterms:modified>
</cp:coreProperties>
</file>